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00" w:lineRule="exact"/>
        <w:ind w:firstLine="482" w:firstLineChars="200"/>
        <w:jc w:val="left"/>
        <w:rPr>
          <w:rFonts w:ascii="宋体" w:hAnsi="宋体" w:cs="宋体"/>
          <w:b/>
          <w:bCs/>
          <w:sz w:val="24"/>
          <w:szCs w:val="18"/>
        </w:rPr>
      </w:pPr>
      <w:r>
        <w:rPr>
          <w:rFonts w:hint="eastAsia" w:ascii="宋体" w:hAnsi="宋体" w:cs="宋体"/>
          <w:b/>
          <w:bCs/>
          <w:sz w:val="24"/>
          <w:szCs w:val="18"/>
        </w:rPr>
        <w:t>一、项目名称及内容</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1、项目编号：ZB201804102</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2、项目名称：池州学院食堂委托经营项目</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3、项目单位：池州学院</w:t>
      </w:r>
      <w:bookmarkStart w:id="16" w:name="_GoBack"/>
      <w:bookmarkEnd w:id="16"/>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4、</w:t>
      </w:r>
      <w:r>
        <w:rPr>
          <w:rFonts w:hint="eastAsia" w:ascii="宋体" w:hAnsi="宋体" w:cs="宋体"/>
          <w:sz w:val="24"/>
        </w:rPr>
        <w:t>资金来源：其他</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5、项目预算：无</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6、最高限价：无</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7、包别划分：本项目共分四个包。第1包为池州学院一食堂餐饮服务；第2包为池州学院二食堂餐饮服务；第3包为池州学院三食堂(含教工食堂)餐饮服务，第4包为池州学院四食堂餐饮服务。投标供应商可选择一个或多个包进行投标，并且最多可以作为其中一个包的第一中标候选人，具体详见招标文件。</w:t>
      </w:r>
    </w:p>
    <w:p>
      <w:pPr>
        <w:autoSpaceDE w:val="0"/>
        <w:autoSpaceDN w:val="0"/>
        <w:adjustRightInd w:val="0"/>
        <w:spacing w:line="400" w:lineRule="exact"/>
        <w:ind w:firstLine="482" w:firstLineChars="200"/>
        <w:jc w:val="left"/>
        <w:rPr>
          <w:rFonts w:hint="eastAsia" w:ascii="宋体" w:hAnsi="宋体" w:cs="宋体"/>
          <w:b/>
          <w:bCs/>
          <w:sz w:val="24"/>
          <w:szCs w:val="18"/>
        </w:rPr>
      </w:pPr>
    </w:p>
    <w:p>
      <w:pPr>
        <w:autoSpaceDE w:val="0"/>
        <w:autoSpaceDN w:val="0"/>
        <w:adjustRightInd w:val="0"/>
        <w:spacing w:line="400" w:lineRule="exact"/>
        <w:ind w:firstLine="482" w:firstLineChars="200"/>
        <w:jc w:val="left"/>
        <w:rPr>
          <w:rFonts w:ascii="宋体" w:hAnsi="宋体" w:cs="宋体"/>
          <w:sz w:val="24"/>
          <w:szCs w:val="18"/>
        </w:rPr>
      </w:pPr>
      <w:r>
        <w:rPr>
          <w:rFonts w:hint="eastAsia" w:ascii="宋体" w:hAnsi="宋体" w:cs="宋体"/>
          <w:b/>
          <w:bCs/>
          <w:sz w:val="24"/>
          <w:szCs w:val="18"/>
        </w:rPr>
        <w:t>二、投标供应商资格</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1、符合《中华人民共和国政府采购法》第二十二条规定；</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2、供应商须具备有效的《餐饮服务许可证》；</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3、供应商存在以下不良信用记录情形之一的，不得推荐中标候选人，不得确定为中标供应商：</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（1）供应商被人民法院列入失信被执行人的：</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（2）供应商或其法定代表人或拟派项目经理被人民检察院列入行贿犯罪档案的；</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（3）供应商被工商行政管理部门列入企业经营异常名录的；</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（4）供应商被税务部门列为重大税收违法案件当事人名单的；</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（5）供应商被政府采购监管部门列入政府采购严重违法失信行为记录名单的。</w:t>
      </w:r>
    </w:p>
    <w:p>
      <w:pPr>
        <w:autoSpaceDE w:val="0"/>
        <w:autoSpaceDN w:val="0"/>
        <w:adjustRightInd w:val="0"/>
        <w:spacing w:line="400" w:lineRule="exact"/>
        <w:ind w:firstLine="480" w:firstLineChars="200"/>
        <w:jc w:val="left"/>
        <w:rPr>
          <w:rFonts w:ascii="宋体" w:hAnsi="宋体" w:cs="宋体"/>
          <w:sz w:val="24"/>
          <w:szCs w:val="18"/>
        </w:rPr>
      </w:pPr>
      <w:r>
        <w:rPr>
          <w:rFonts w:hint="eastAsia" w:ascii="宋体" w:hAnsi="宋体" w:cs="宋体"/>
          <w:sz w:val="24"/>
          <w:szCs w:val="18"/>
        </w:rPr>
        <w:t>4、本项目不接受联合体投标。</w:t>
      </w:r>
    </w:p>
    <w:p>
      <w:pPr>
        <w:pStyle w:val="3"/>
        <w:spacing w:line="0" w:lineRule="atLeast"/>
        <w:ind w:firstLine="0"/>
        <w:rPr>
          <w:rFonts w:eastAsia="宋体" w:cs="Arial"/>
        </w:rPr>
      </w:pPr>
      <w:bookmarkStart w:id="0" w:name="_Hlt510343011"/>
      <w:bookmarkStart w:id="1" w:name="_Hlt510342998"/>
      <w:bookmarkStart w:id="2" w:name="_Toc418935906"/>
      <w:bookmarkStart w:id="3" w:name="_Toc27865"/>
      <w:r>
        <w:rPr>
          <w:rFonts w:hint="eastAsia" w:eastAsia="宋体" w:cs="Arial"/>
        </w:rPr>
        <w:t>供应商</w:t>
      </w:r>
      <w:r>
        <w:rPr>
          <w:rFonts w:eastAsia="宋体" w:cs="Arial"/>
        </w:rPr>
        <w:t>须</w:t>
      </w:r>
      <w:bookmarkEnd w:id="0"/>
      <w:r>
        <w:rPr>
          <w:rFonts w:eastAsia="宋体" w:cs="Arial"/>
        </w:rPr>
        <w:t>知前</w:t>
      </w:r>
      <w:bookmarkEnd w:id="1"/>
      <w:r>
        <w:rPr>
          <w:rFonts w:eastAsia="宋体" w:cs="Arial"/>
        </w:rPr>
        <w:t>附表</w:t>
      </w:r>
      <w:bookmarkEnd w:id="2"/>
      <w:bookmarkEnd w:id="3"/>
    </w:p>
    <w:tbl>
      <w:tblPr>
        <w:tblStyle w:val="65"/>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24"/>
        <w:gridCol w:w="6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2" w:hRule="atLeast"/>
        </w:trPr>
        <w:tc>
          <w:tcPr>
            <w:tcW w:w="866" w:type="dxa"/>
            <w:vAlign w:val="center"/>
          </w:tcPr>
          <w:p>
            <w:pPr>
              <w:spacing w:line="0" w:lineRule="atLeast"/>
              <w:jc w:val="center"/>
              <w:rPr>
                <w:rFonts w:ascii="宋体" w:hAnsi="宋体" w:cs="宋体"/>
                <w:b/>
                <w:sz w:val="24"/>
                <w:szCs w:val="24"/>
              </w:rPr>
            </w:pPr>
            <w:r>
              <w:rPr>
                <w:rFonts w:hint="eastAsia" w:ascii="宋体" w:hAnsi="宋体" w:cs="宋体"/>
                <w:b/>
                <w:sz w:val="24"/>
                <w:szCs w:val="24"/>
              </w:rPr>
              <w:t>序号</w:t>
            </w:r>
          </w:p>
        </w:tc>
        <w:tc>
          <w:tcPr>
            <w:tcW w:w="2124" w:type="dxa"/>
            <w:vAlign w:val="center"/>
          </w:tcPr>
          <w:p>
            <w:pPr>
              <w:spacing w:line="0" w:lineRule="atLeast"/>
              <w:jc w:val="center"/>
              <w:rPr>
                <w:rFonts w:ascii="宋体" w:hAnsi="宋体" w:cs="宋体"/>
                <w:b/>
                <w:sz w:val="24"/>
                <w:szCs w:val="24"/>
              </w:rPr>
            </w:pPr>
            <w:r>
              <w:rPr>
                <w:rFonts w:hint="eastAsia" w:ascii="宋体" w:hAnsi="宋体" w:cs="宋体"/>
                <w:b/>
                <w:sz w:val="24"/>
                <w:szCs w:val="24"/>
              </w:rPr>
              <w:t>内容</w:t>
            </w:r>
          </w:p>
        </w:tc>
        <w:tc>
          <w:tcPr>
            <w:tcW w:w="6355" w:type="dxa"/>
            <w:vAlign w:val="center"/>
          </w:tcPr>
          <w:p>
            <w:pPr>
              <w:pStyle w:val="157"/>
              <w:widowControl w:val="0"/>
              <w:spacing w:before="0" w:beforeAutospacing="0" w:after="0" w:afterAutospacing="0" w:line="0" w:lineRule="atLeast"/>
              <w:rPr>
                <w:rFonts w:cs="宋体"/>
                <w:bCs w:val="0"/>
                <w:kern w:val="2"/>
                <w:sz w:val="24"/>
                <w:szCs w:val="24"/>
              </w:rPr>
            </w:pPr>
            <w:r>
              <w:rPr>
                <w:rFonts w:hint="eastAsia" w:cs="宋体"/>
                <w:bCs w:val="0"/>
                <w:kern w:val="2"/>
                <w:sz w:val="24"/>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bCs/>
                <w:sz w:val="24"/>
                <w:szCs w:val="24"/>
              </w:rPr>
            </w:pPr>
            <w:r>
              <w:rPr>
                <w:rFonts w:hint="eastAsia" w:ascii="宋体" w:hAnsi="宋体" w:cs="宋体"/>
                <w:bCs/>
                <w:sz w:val="24"/>
                <w:szCs w:val="24"/>
              </w:rPr>
              <w:t>采购人</w:t>
            </w:r>
          </w:p>
        </w:tc>
        <w:tc>
          <w:tcPr>
            <w:tcW w:w="6355" w:type="dxa"/>
            <w:vAlign w:val="center"/>
          </w:tcPr>
          <w:p>
            <w:pPr>
              <w:pStyle w:val="157"/>
              <w:widowControl w:val="0"/>
              <w:spacing w:before="0" w:beforeAutospacing="0" w:after="0" w:afterAutospacing="0" w:line="0" w:lineRule="atLeast"/>
              <w:jc w:val="both"/>
              <w:rPr>
                <w:rFonts w:cs="宋体"/>
                <w:b w:val="0"/>
                <w:bCs w:val="0"/>
                <w:kern w:val="2"/>
                <w:sz w:val="24"/>
                <w:szCs w:val="24"/>
              </w:rPr>
            </w:pPr>
            <w:r>
              <w:rPr>
                <w:rFonts w:hint="eastAsia" w:cs="宋体"/>
                <w:b w:val="0"/>
                <w:bCs w:val="0"/>
                <w:sz w:val="24"/>
                <w:szCs w:val="24"/>
              </w:rPr>
              <w:t>池州学院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bCs/>
                <w:sz w:val="24"/>
                <w:szCs w:val="24"/>
              </w:rPr>
            </w:pPr>
            <w:r>
              <w:rPr>
                <w:rFonts w:hint="eastAsia" w:ascii="宋体" w:hAnsi="宋体" w:cs="宋体"/>
                <w:bCs/>
                <w:sz w:val="24"/>
                <w:szCs w:val="24"/>
              </w:rPr>
              <w:t>委托人</w:t>
            </w:r>
          </w:p>
        </w:tc>
        <w:tc>
          <w:tcPr>
            <w:tcW w:w="6355" w:type="dxa"/>
            <w:vAlign w:val="center"/>
          </w:tcPr>
          <w:p>
            <w:pPr>
              <w:pStyle w:val="157"/>
              <w:widowControl w:val="0"/>
              <w:spacing w:before="0" w:beforeAutospacing="0" w:after="0" w:afterAutospacing="0" w:line="0" w:lineRule="atLeast"/>
              <w:jc w:val="both"/>
              <w:rPr>
                <w:rFonts w:cs="宋体"/>
                <w:b w:val="0"/>
                <w:bCs w:val="0"/>
                <w:sz w:val="24"/>
                <w:szCs w:val="24"/>
              </w:rPr>
            </w:pPr>
            <w:r>
              <w:rPr>
                <w:rFonts w:hint="eastAsia" w:cs="宋体"/>
                <w:b w:val="0"/>
                <w:bCs w:val="0"/>
                <w:sz w:val="24"/>
                <w:szCs w:val="24"/>
              </w:rPr>
              <w:t>池州学院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bCs/>
                <w:sz w:val="24"/>
                <w:szCs w:val="24"/>
              </w:rPr>
            </w:pPr>
            <w:r>
              <w:rPr>
                <w:rFonts w:hint="eastAsia" w:ascii="宋体" w:hAnsi="宋体" w:cs="宋体"/>
                <w:sz w:val="24"/>
                <w:szCs w:val="24"/>
              </w:rPr>
              <w:t>采购代理机构</w:t>
            </w:r>
          </w:p>
        </w:tc>
        <w:tc>
          <w:tcPr>
            <w:tcW w:w="6355" w:type="dxa"/>
            <w:vAlign w:val="center"/>
          </w:tcPr>
          <w:p>
            <w:pPr>
              <w:spacing w:line="0" w:lineRule="atLeast"/>
              <w:rPr>
                <w:rFonts w:ascii="宋体" w:hAnsi="宋体" w:cs="宋体"/>
                <w:sz w:val="24"/>
                <w:szCs w:val="24"/>
              </w:rPr>
            </w:pPr>
            <w:r>
              <w:rPr>
                <w:rFonts w:hint="eastAsia" w:ascii="宋体" w:hAnsi="宋体" w:cs="宋体"/>
                <w:sz w:val="24"/>
                <w:szCs w:val="24"/>
              </w:rPr>
              <w:t>安徽鼎信项目管理股份有限公司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项目名称</w:t>
            </w:r>
          </w:p>
        </w:tc>
        <w:tc>
          <w:tcPr>
            <w:tcW w:w="6355" w:type="dxa"/>
            <w:vAlign w:val="center"/>
          </w:tcPr>
          <w:p>
            <w:pPr>
              <w:pStyle w:val="157"/>
              <w:widowControl w:val="0"/>
              <w:spacing w:before="0" w:beforeAutospacing="0" w:after="0" w:afterAutospacing="0" w:line="0" w:lineRule="atLeast"/>
              <w:jc w:val="both"/>
              <w:rPr>
                <w:rFonts w:cs="宋体"/>
                <w:b w:val="0"/>
                <w:bCs w:val="0"/>
                <w:sz w:val="24"/>
                <w:szCs w:val="24"/>
              </w:rPr>
            </w:pPr>
            <w:r>
              <w:rPr>
                <w:rFonts w:hint="eastAsia" w:cs="宋体"/>
                <w:b w:val="0"/>
                <w:bCs w:val="0"/>
                <w:sz w:val="24"/>
                <w:szCs w:val="24"/>
              </w:rPr>
              <w:t>池州学院食堂委托经营项目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项目编号</w:t>
            </w:r>
          </w:p>
        </w:tc>
        <w:tc>
          <w:tcPr>
            <w:tcW w:w="6355" w:type="dxa"/>
            <w:vAlign w:val="center"/>
          </w:tcPr>
          <w:p>
            <w:pPr>
              <w:pStyle w:val="157"/>
              <w:widowControl w:val="0"/>
              <w:spacing w:before="0" w:beforeAutospacing="0" w:after="0" w:afterAutospacing="0" w:line="0" w:lineRule="atLeast"/>
              <w:jc w:val="both"/>
              <w:rPr>
                <w:rFonts w:cs="宋体"/>
                <w:b w:val="0"/>
                <w:bCs w:val="0"/>
                <w:sz w:val="24"/>
                <w:szCs w:val="24"/>
              </w:rPr>
            </w:pPr>
            <w:r>
              <w:rPr>
                <w:rFonts w:hint="eastAsia" w:cs="宋体"/>
                <w:b w:val="0"/>
                <w:bCs w:val="0"/>
                <w:sz w:val="24"/>
                <w:szCs w:val="24"/>
              </w:rPr>
              <w:t>ZB201804102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项目性质</w:t>
            </w:r>
          </w:p>
        </w:tc>
        <w:tc>
          <w:tcPr>
            <w:tcW w:w="6355" w:type="dxa"/>
            <w:vAlign w:val="center"/>
          </w:tcPr>
          <w:p>
            <w:pPr>
              <w:pStyle w:val="157"/>
              <w:widowControl w:val="0"/>
              <w:spacing w:before="0" w:beforeAutospacing="0" w:after="0" w:afterAutospacing="0" w:line="0" w:lineRule="atLeast"/>
              <w:jc w:val="both"/>
              <w:rPr>
                <w:rFonts w:cs="宋体"/>
                <w:b w:val="0"/>
                <w:bCs w:val="0"/>
                <w:sz w:val="24"/>
                <w:szCs w:val="24"/>
              </w:rPr>
            </w:pPr>
            <w:r>
              <w:rPr>
                <w:rFonts w:hint="eastAsia" w:cs="宋体"/>
                <w:b w:val="0"/>
                <w:bCs w:val="0"/>
                <w:sz w:val="24"/>
                <w:szCs w:val="24"/>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资金来源</w:t>
            </w:r>
          </w:p>
        </w:tc>
        <w:tc>
          <w:tcPr>
            <w:tcW w:w="6355" w:type="dxa"/>
            <w:vAlign w:val="center"/>
          </w:tcPr>
          <w:p>
            <w:pPr>
              <w:pStyle w:val="157"/>
              <w:widowControl w:val="0"/>
              <w:spacing w:before="0" w:beforeAutospacing="0" w:after="0" w:afterAutospacing="0" w:line="0" w:lineRule="atLeast"/>
              <w:jc w:val="both"/>
              <w:rPr>
                <w:rFonts w:cs="宋体"/>
                <w:b w:val="0"/>
                <w:bCs w:val="0"/>
                <w:sz w:val="24"/>
                <w:szCs w:val="24"/>
              </w:rPr>
            </w:pPr>
            <w:r>
              <w:rPr>
                <w:rFonts w:hint="eastAsia" w:cs="宋体"/>
                <w:b w:val="0"/>
                <w:bCs w:val="0"/>
                <w:sz w:val="24"/>
                <w:szCs w:val="24"/>
              </w:rPr>
              <w:sym w:font="Wingdings" w:char="F0FE"/>
            </w:r>
            <w:r>
              <w:rPr>
                <w:rFonts w:hint="eastAsia" w:cs="宋体"/>
                <w:b w:val="0"/>
                <w:bCs w:val="0"/>
                <w:sz w:val="24"/>
                <w:szCs w:val="24"/>
                <w:lang w:val="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lang w:val="zh-CN"/>
              </w:rPr>
            </w:pPr>
            <w:r>
              <w:rPr>
                <w:rFonts w:hint="eastAsia" w:ascii="宋体" w:hAnsi="宋体" w:cs="宋体"/>
                <w:sz w:val="24"/>
                <w:szCs w:val="24"/>
              </w:rPr>
              <w:t>包别划分</w:t>
            </w:r>
          </w:p>
        </w:tc>
        <w:tc>
          <w:tcPr>
            <w:tcW w:w="6355" w:type="dxa"/>
            <w:vAlign w:val="center"/>
          </w:tcPr>
          <w:p>
            <w:pPr>
              <w:spacing w:line="0" w:lineRule="atLeast"/>
              <w:ind w:left="841" w:hanging="841"/>
              <w:rPr>
                <w:rFonts w:ascii="宋体" w:hAnsi="宋体" w:cs="宋体"/>
                <w:sz w:val="24"/>
                <w:szCs w:val="24"/>
              </w:rPr>
            </w:pPr>
            <w:r>
              <w:rPr>
                <w:rFonts w:hint="eastAsia" w:ascii="宋体" w:hAnsi="宋体" w:cs="宋体"/>
                <w:sz w:val="24"/>
                <w:szCs w:val="24"/>
              </w:rPr>
              <w:sym w:font="Wingdings" w:char="F0FE"/>
            </w:r>
            <w:r>
              <w:rPr>
                <w:rFonts w:hint="eastAsia" w:ascii="宋体" w:hAnsi="宋体" w:cs="宋体"/>
                <w:sz w:val="24"/>
                <w:szCs w:val="24"/>
              </w:rPr>
              <w:t>本项目共分为4个包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联合体投标</w:t>
            </w:r>
          </w:p>
        </w:tc>
        <w:tc>
          <w:tcPr>
            <w:tcW w:w="6355" w:type="dxa"/>
            <w:vAlign w:val="center"/>
          </w:tcPr>
          <w:p>
            <w:pPr>
              <w:spacing w:line="0" w:lineRule="atLeast"/>
              <w:rPr>
                <w:rFonts w:ascii="宋体" w:hAnsi="宋体" w:cs="宋体"/>
                <w:sz w:val="24"/>
                <w:szCs w:val="24"/>
              </w:rPr>
            </w:pPr>
            <w:r>
              <w:rPr>
                <w:rFonts w:hint="eastAsia" w:ascii="宋体" w:hAnsi="宋体" w:cs="宋体"/>
                <w:kern w:val="0"/>
                <w:sz w:val="24"/>
                <w:szCs w:val="24"/>
              </w:rPr>
              <w:t>□</w:t>
            </w:r>
            <w:r>
              <w:rPr>
                <w:rFonts w:hint="eastAsia" w:ascii="宋体" w:hAnsi="宋体" w:cs="宋体"/>
                <w:sz w:val="24"/>
                <w:szCs w:val="24"/>
                <w:lang w:val="zh-CN"/>
              </w:rPr>
              <w:t>允许</w:t>
            </w:r>
            <w:r>
              <w:rPr>
                <w:rFonts w:hint="eastAsia" w:ascii="宋体" w:hAnsi="宋体" w:cs="宋体"/>
                <w:sz w:val="24"/>
                <w:szCs w:val="24"/>
              </w:rPr>
              <w:sym w:font="Wingdings" w:char="F0FE"/>
            </w:r>
            <w:r>
              <w:rPr>
                <w:rFonts w:hint="eastAsia" w:ascii="宋体" w:hAnsi="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lang w:val="zh-CN"/>
              </w:rPr>
            </w:pPr>
            <w:r>
              <w:rPr>
                <w:rFonts w:hint="eastAsia" w:ascii="宋体" w:hAnsi="宋体" w:cs="宋体"/>
                <w:sz w:val="24"/>
                <w:szCs w:val="24"/>
              </w:rPr>
              <w:t>投标有效期</w:t>
            </w:r>
          </w:p>
        </w:tc>
        <w:tc>
          <w:tcPr>
            <w:tcW w:w="6355" w:type="dxa"/>
            <w:vAlign w:val="center"/>
          </w:tcPr>
          <w:p>
            <w:pPr>
              <w:spacing w:line="0" w:lineRule="atLeast"/>
              <w:rPr>
                <w:rFonts w:ascii="宋体" w:hAnsi="宋体" w:cs="宋体"/>
                <w:sz w:val="24"/>
                <w:szCs w:val="24"/>
              </w:rPr>
            </w:pPr>
            <w:r>
              <w:rPr>
                <w:rFonts w:hint="eastAsia" w:ascii="宋体" w:hAnsi="宋体" w:cs="宋体"/>
                <w:bCs/>
                <w:sz w:val="24"/>
                <w:szCs w:val="24"/>
              </w:rPr>
              <w:t>120天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项目地点</w:t>
            </w:r>
          </w:p>
        </w:tc>
        <w:tc>
          <w:tcPr>
            <w:tcW w:w="6355" w:type="dxa"/>
            <w:vAlign w:val="center"/>
          </w:tcPr>
          <w:p>
            <w:pPr>
              <w:spacing w:line="0" w:lineRule="atLeast"/>
              <w:rPr>
                <w:rFonts w:ascii="宋体" w:hAnsi="宋体" w:cs="宋体"/>
                <w:sz w:val="24"/>
                <w:szCs w:val="24"/>
              </w:rPr>
            </w:pPr>
            <w:r>
              <w:rPr>
                <w:rFonts w:hint="eastAsia" w:ascii="宋体" w:hAnsi="宋体" w:cs="宋体"/>
                <w:sz w:val="24"/>
                <w:szCs w:val="24"/>
              </w:rPr>
              <w:t>池州学院，采购人指定地点。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5"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经营期限</w:t>
            </w:r>
          </w:p>
        </w:tc>
        <w:tc>
          <w:tcPr>
            <w:tcW w:w="6355" w:type="dxa"/>
            <w:vAlign w:val="center"/>
          </w:tcPr>
          <w:p>
            <w:pPr>
              <w:spacing w:line="0" w:lineRule="atLeast"/>
              <w:ind w:firstLine="480" w:firstLineChars="200"/>
              <w:rPr>
                <w:rFonts w:ascii="宋体" w:hAnsi="宋体" w:cs="宋体"/>
                <w:color w:val="1515C4"/>
                <w:sz w:val="24"/>
                <w:szCs w:val="24"/>
                <w:highlight w:val="yellow"/>
              </w:rPr>
            </w:pPr>
            <w:r>
              <w:rPr>
                <w:rFonts w:hint="eastAsia" w:ascii="宋体" w:hAnsi="宋体" w:cs="宋体"/>
                <w:color w:val="1515C4"/>
                <w:sz w:val="24"/>
                <w:szCs w:val="24"/>
                <w:highlight w:val="yellow"/>
              </w:rPr>
              <w:t>经营期限三年。</w:t>
            </w:r>
          </w:p>
          <w:p>
            <w:pPr>
              <w:spacing w:line="0" w:lineRule="atLeast"/>
              <w:ind w:firstLine="480" w:firstLineChars="200"/>
              <w:rPr>
                <w:rFonts w:ascii="宋体" w:hAnsi="宋体" w:cs="宋体"/>
                <w:sz w:val="24"/>
                <w:szCs w:val="24"/>
                <w:highlight w:val="yellow"/>
              </w:rPr>
            </w:pPr>
            <w:r>
              <w:rPr>
                <w:rFonts w:hint="eastAsia" w:ascii="宋体" w:hAnsi="宋体" w:cs="宋体"/>
                <w:sz w:val="24"/>
                <w:szCs w:val="24"/>
                <w:highlight w:val="yellow"/>
              </w:rPr>
              <w:t>若在合同期内，出现任一年度考核达不到优秀等次的，则中标供应商在该年度服务期结束时自行退场；若在任一年度内考核不合格，则采购人有权单方面解除合同并强制其退场。若供应商每年度考核均为优秀等次、总体考核优秀的，报学校研究同意，续签壹年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4"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pStyle w:val="140"/>
              <w:pBdr>
                <w:bottom w:val="none" w:color="auto" w:sz="0" w:space="0"/>
              </w:pBdr>
              <w:tabs>
                <w:tab w:val="clear" w:pos="4153"/>
                <w:tab w:val="clear" w:pos="8306"/>
              </w:tabs>
              <w:adjustRightInd/>
              <w:spacing w:line="0" w:lineRule="atLeast"/>
              <w:textAlignment w:val="auto"/>
              <w:rPr>
                <w:rFonts w:ascii="宋体" w:hAnsi="宋体" w:cs="宋体"/>
                <w:kern w:val="2"/>
                <w:szCs w:val="24"/>
                <w:lang w:val="zh-CN"/>
              </w:rPr>
            </w:pPr>
            <w:r>
              <w:rPr>
                <w:rFonts w:hint="eastAsia" w:ascii="宋体" w:hAnsi="宋体" w:cs="宋体"/>
                <w:kern w:val="2"/>
                <w:szCs w:val="24"/>
              </w:rPr>
              <w:t>投标保证金</w:t>
            </w:r>
          </w:p>
        </w:tc>
        <w:tc>
          <w:tcPr>
            <w:tcW w:w="6355" w:type="dxa"/>
            <w:vAlign w:val="center"/>
          </w:tcPr>
          <w:p>
            <w:pPr>
              <w:spacing w:line="0" w:lineRule="atLeast"/>
              <w:ind w:firstLine="480" w:firstLineChars="200"/>
              <w:rPr>
                <w:rFonts w:ascii="宋体" w:hAnsi="宋体" w:cs="宋体"/>
                <w:sz w:val="24"/>
                <w:szCs w:val="24"/>
              </w:rPr>
            </w:pPr>
            <w:r>
              <w:rPr>
                <w:rFonts w:hint="eastAsia" w:ascii="宋体" w:hAnsi="宋体" w:cs="宋体"/>
                <w:sz w:val="24"/>
                <w:szCs w:val="24"/>
              </w:rPr>
              <w:t>无论投一个包还是多个包，投标供应商均只需缴纳人民币</w:t>
            </w:r>
            <w:r>
              <w:rPr>
                <w:rFonts w:hint="eastAsia" w:ascii="宋体" w:hAnsi="宋体" w:cs="宋体"/>
                <w:b/>
                <w:bCs/>
                <w:color w:val="0000FF"/>
                <w:sz w:val="24"/>
                <w:szCs w:val="24"/>
                <w:u w:val="single"/>
              </w:rPr>
              <w:t>贰拾万元整</w:t>
            </w:r>
            <w:r>
              <w:rPr>
                <w:rFonts w:hint="eastAsia" w:ascii="宋体" w:hAnsi="宋体" w:cs="宋体"/>
                <w:sz w:val="24"/>
                <w:szCs w:val="24"/>
              </w:rPr>
              <w:t>作为投标保证金。</w:t>
            </w:r>
          </w:p>
          <w:p>
            <w:pPr>
              <w:spacing w:line="0" w:lineRule="atLeast"/>
              <w:ind w:firstLine="480" w:firstLineChars="200"/>
              <w:rPr>
                <w:rFonts w:ascii="宋体" w:hAnsi="宋体" w:cs="宋体"/>
                <w:sz w:val="24"/>
                <w:szCs w:val="24"/>
              </w:rPr>
            </w:pPr>
            <w:r>
              <w:rPr>
                <w:rFonts w:hint="eastAsia" w:ascii="宋体" w:hAnsi="宋体" w:cs="宋体"/>
                <w:sz w:val="24"/>
                <w:szCs w:val="24"/>
              </w:rPr>
              <w:t>投标保证金应当于</w:t>
            </w:r>
            <w:r>
              <w:rPr>
                <w:rFonts w:hint="eastAsia" w:ascii="宋体" w:hAnsi="宋体" w:cs="宋体"/>
                <w:color w:val="0000FF"/>
                <w:sz w:val="24"/>
                <w:szCs w:val="24"/>
              </w:rPr>
              <w:t>2018年5月日</w:t>
            </w:r>
            <w:r>
              <w:rPr>
                <w:rFonts w:hint="eastAsia" w:ascii="宋体" w:hAnsi="宋体" w:cs="宋体"/>
                <w:sz w:val="24"/>
                <w:szCs w:val="24"/>
              </w:rPr>
              <w:t>前足额到达如下账户：</w:t>
            </w:r>
          </w:p>
          <w:p>
            <w:pPr>
              <w:spacing w:line="0" w:lineRule="atLeast"/>
              <w:ind w:firstLine="482" w:firstLineChars="200"/>
              <w:rPr>
                <w:rFonts w:ascii="宋体" w:hAnsi="宋体" w:cs="宋体"/>
                <w:b/>
                <w:bCs/>
                <w:sz w:val="24"/>
                <w:szCs w:val="24"/>
              </w:rPr>
            </w:pPr>
            <w:r>
              <w:rPr>
                <w:rFonts w:hint="eastAsia" w:ascii="宋体" w:hAnsi="宋体" w:cs="宋体"/>
                <w:b/>
                <w:bCs/>
                <w:sz w:val="24"/>
                <w:szCs w:val="24"/>
              </w:rPr>
              <w:t>户名：安徽鼎信项目管理股份有限公司</w:t>
            </w:r>
          </w:p>
          <w:p>
            <w:pPr>
              <w:spacing w:line="0" w:lineRule="atLeast"/>
              <w:ind w:firstLine="482" w:firstLineChars="200"/>
              <w:rPr>
                <w:rFonts w:ascii="宋体" w:hAnsi="宋体" w:cs="宋体"/>
                <w:b/>
                <w:bCs/>
                <w:sz w:val="24"/>
                <w:szCs w:val="24"/>
              </w:rPr>
            </w:pPr>
            <w:r>
              <w:rPr>
                <w:rFonts w:hint="eastAsia" w:ascii="宋体" w:hAnsi="宋体" w:cs="宋体"/>
                <w:b/>
                <w:bCs/>
                <w:sz w:val="24"/>
                <w:szCs w:val="24"/>
              </w:rPr>
              <w:t>开户银行：工商银行合肥市望江路支行</w:t>
            </w:r>
          </w:p>
          <w:p>
            <w:pPr>
              <w:spacing w:line="0" w:lineRule="atLeast"/>
              <w:ind w:firstLine="482" w:firstLineChars="200"/>
              <w:rPr>
                <w:rFonts w:ascii="宋体" w:hAnsi="宋体" w:cs="宋体"/>
                <w:b/>
                <w:bCs/>
                <w:sz w:val="24"/>
                <w:szCs w:val="24"/>
              </w:rPr>
            </w:pPr>
            <w:r>
              <w:rPr>
                <w:rFonts w:hint="eastAsia" w:ascii="宋体" w:hAnsi="宋体" w:cs="宋体"/>
                <w:b/>
                <w:bCs/>
                <w:sz w:val="24"/>
                <w:szCs w:val="24"/>
              </w:rPr>
              <w:t>账号：1302010519200219520</w:t>
            </w:r>
          </w:p>
          <w:p>
            <w:pPr>
              <w:spacing w:line="0" w:lineRule="atLeast"/>
              <w:ind w:firstLine="480" w:firstLineChars="200"/>
              <w:rPr>
                <w:rFonts w:ascii="宋体" w:hAnsi="宋体" w:cs="宋体"/>
                <w:sz w:val="24"/>
                <w:szCs w:val="24"/>
              </w:rPr>
            </w:pPr>
            <w:r>
              <w:rPr>
                <w:rFonts w:hint="eastAsia" w:ascii="宋体" w:hAnsi="宋体" w:cs="宋体"/>
                <w:sz w:val="24"/>
                <w:szCs w:val="24"/>
              </w:rPr>
              <w:t>（用途请注明</w:t>
            </w:r>
            <w:r>
              <w:rPr>
                <w:rFonts w:hint="eastAsia" w:ascii="宋体" w:hAnsi="宋体" w:cs="宋体"/>
                <w:b/>
                <w:bCs/>
                <w:color w:val="0000FF"/>
                <w:sz w:val="24"/>
                <w:szCs w:val="24"/>
              </w:rPr>
              <w:t>池州学院食堂保证金</w:t>
            </w:r>
            <w:r>
              <w:rPr>
                <w:rFonts w:hint="eastAsia" w:ascii="宋体" w:hAnsi="宋体" w:cs="宋体"/>
                <w:sz w:val="24"/>
                <w:szCs w:val="24"/>
              </w:rPr>
              <w:t>）</w:t>
            </w:r>
          </w:p>
          <w:p>
            <w:pPr>
              <w:spacing w:line="0" w:lineRule="atLeast"/>
              <w:ind w:firstLine="480" w:firstLineChars="200"/>
              <w:rPr>
                <w:rFonts w:ascii="宋体" w:hAnsi="宋体" w:cs="宋体"/>
                <w:sz w:val="24"/>
                <w:szCs w:val="24"/>
              </w:rPr>
            </w:pPr>
            <w:r>
              <w:rPr>
                <w:rFonts w:hint="eastAsia" w:ascii="宋体" w:hAnsi="宋体" w:cs="宋体"/>
                <w:sz w:val="24"/>
                <w:szCs w:val="24"/>
              </w:rPr>
              <w:t>形式要求：详见招标文件第三章供应商须知第18条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6"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bCs/>
                <w:sz w:val="24"/>
                <w:szCs w:val="24"/>
              </w:rPr>
              <w:t>答疑</w:t>
            </w:r>
          </w:p>
        </w:tc>
        <w:tc>
          <w:tcPr>
            <w:tcW w:w="6355" w:type="dxa"/>
            <w:vAlign w:val="center"/>
          </w:tcPr>
          <w:p>
            <w:pPr>
              <w:spacing w:line="0" w:lineRule="atLeast"/>
              <w:ind w:firstLine="482" w:firstLineChars="200"/>
              <w:rPr>
                <w:rFonts w:ascii="宋体" w:hAnsi="宋体" w:cs="宋体"/>
                <w:b/>
                <w:bCs/>
                <w:sz w:val="24"/>
                <w:szCs w:val="24"/>
              </w:rPr>
            </w:pPr>
            <w:r>
              <w:rPr>
                <w:rFonts w:hint="eastAsia" w:ascii="宋体" w:hAnsi="宋体" w:cs="宋体"/>
                <w:b/>
                <w:bCs/>
                <w:sz w:val="24"/>
                <w:szCs w:val="24"/>
              </w:rPr>
              <w:t>供应商如对招标文件有疑问，须在2018年5月日前以书面形式提出，并将书面材料的影印件发至招标公告所列电子邮箱（逾期不予受理）。</w:t>
            </w:r>
          </w:p>
          <w:p>
            <w:pPr>
              <w:spacing w:line="0" w:lineRule="atLeast"/>
              <w:ind w:firstLine="480" w:firstLineChars="200"/>
              <w:rPr>
                <w:rFonts w:ascii="宋体" w:hAnsi="宋体" w:cs="宋体"/>
                <w:sz w:val="24"/>
                <w:szCs w:val="24"/>
              </w:rPr>
            </w:pPr>
            <w:r>
              <w:rPr>
                <w:rFonts w:hint="eastAsia" w:ascii="宋体" w:hAnsi="宋体" w:cs="宋体"/>
                <w:sz w:val="24"/>
                <w:szCs w:val="24"/>
              </w:rPr>
              <w:t>疑问的提出详见招标文件第三章供应商须知第14条。</w:t>
            </w:r>
          </w:p>
          <w:p>
            <w:pPr>
              <w:spacing w:line="0" w:lineRule="atLeast"/>
              <w:ind w:firstLine="480" w:firstLineChars="200"/>
              <w:rPr>
                <w:rFonts w:ascii="宋体" w:hAnsi="宋体" w:cs="宋体"/>
                <w:bCs/>
                <w:sz w:val="24"/>
                <w:szCs w:val="24"/>
              </w:rPr>
            </w:pPr>
            <w:r>
              <w:rPr>
                <w:rFonts w:hint="eastAsia" w:ascii="宋体" w:hAnsi="宋体" w:cs="宋体"/>
                <w:sz w:val="24"/>
                <w:szCs w:val="24"/>
              </w:rPr>
              <w:t>供应商请注意：对招标文件进行的</w:t>
            </w:r>
            <w:r>
              <w:rPr>
                <w:rFonts w:hint="eastAsia" w:ascii="宋体" w:hAnsi="宋体" w:cs="宋体"/>
                <w:bCs/>
                <w:sz w:val="24"/>
                <w:szCs w:val="24"/>
              </w:rPr>
              <w:t>答疑、澄清、变更或补充，将在相关网站上及时发布，该公告内容为招标文件的组成部分，对供应商具有同样约束力。供应商应主动上网查询。采购人和安徽鼎信项目管理股份有限公司不承担供应商未及时关注相关信息引发的相关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bCs/>
                <w:sz w:val="24"/>
                <w:szCs w:val="24"/>
              </w:rPr>
            </w:pPr>
            <w:r>
              <w:rPr>
                <w:rFonts w:hint="eastAsia" w:ascii="宋体" w:hAnsi="宋体" w:cs="宋体"/>
                <w:bCs/>
                <w:sz w:val="24"/>
                <w:szCs w:val="24"/>
              </w:rPr>
              <w:t>勘察现场</w:t>
            </w:r>
          </w:p>
        </w:tc>
        <w:tc>
          <w:tcPr>
            <w:tcW w:w="6355" w:type="dxa"/>
            <w:vAlign w:val="center"/>
          </w:tcPr>
          <w:p>
            <w:pPr>
              <w:spacing w:line="0" w:lineRule="atLeast"/>
              <w:rPr>
                <w:rFonts w:ascii="宋体" w:hAnsi="宋体" w:cs="宋体"/>
                <w:bCs/>
                <w:sz w:val="24"/>
                <w:szCs w:val="24"/>
              </w:rPr>
            </w:pPr>
            <w:r>
              <w:rPr>
                <w:rFonts w:hint="eastAsia" w:ascii="宋体" w:hAnsi="宋体" w:cs="宋体"/>
                <w:sz w:val="24"/>
                <w:szCs w:val="24"/>
              </w:rPr>
              <w:sym w:font="Wingdings" w:char="F0FE"/>
            </w:r>
            <w:r>
              <w:rPr>
                <w:rFonts w:hint="eastAsia" w:ascii="宋体" w:hAnsi="宋体" w:cs="宋体"/>
                <w:bCs/>
                <w:sz w:val="24"/>
                <w:szCs w:val="24"/>
              </w:rPr>
              <w:t>自行勘察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6"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投标文件</w:t>
            </w:r>
          </w:p>
          <w:p>
            <w:pPr>
              <w:spacing w:line="0" w:lineRule="atLeast"/>
              <w:jc w:val="center"/>
              <w:rPr>
                <w:rFonts w:ascii="宋体" w:hAnsi="宋体" w:cs="宋体"/>
                <w:sz w:val="24"/>
                <w:szCs w:val="24"/>
              </w:rPr>
            </w:pPr>
            <w:r>
              <w:rPr>
                <w:rFonts w:hint="eastAsia" w:ascii="宋体" w:hAnsi="宋体" w:cs="宋体"/>
                <w:sz w:val="24"/>
                <w:szCs w:val="24"/>
              </w:rPr>
              <w:t>份数及要求</w:t>
            </w:r>
          </w:p>
        </w:tc>
        <w:tc>
          <w:tcPr>
            <w:tcW w:w="6355" w:type="dxa"/>
            <w:vAlign w:val="center"/>
          </w:tcPr>
          <w:p>
            <w:pPr>
              <w:spacing w:line="0" w:lineRule="atLeast"/>
              <w:rPr>
                <w:rFonts w:ascii="宋体" w:hAnsi="宋体" w:cs="宋体"/>
                <w:sz w:val="24"/>
                <w:szCs w:val="24"/>
              </w:rPr>
            </w:pPr>
            <w:r>
              <w:rPr>
                <w:rFonts w:hint="eastAsia" w:ascii="宋体" w:hAnsi="宋体" w:cs="宋体"/>
                <w:sz w:val="24"/>
                <w:szCs w:val="24"/>
              </w:rPr>
              <w:t>每包投标文件均为：正本</w:t>
            </w:r>
            <w:r>
              <w:rPr>
                <w:rFonts w:hint="eastAsia" w:ascii="宋体" w:hAnsi="宋体" w:cs="宋体"/>
                <w:sz w:val="24"/>
                <w:szCs w:val="24"/>
                <w:u w:val="single"/>
              </w:rPr>
              <w:t>1</w:t>
            </w:r>
            <w:r>
              <w:rPr>
                <w:rFonts w:hint="eastAsia" w:ascii="宋体" w:hAnsi="宋体" w:cs="宋体"/>
                <w:sz w:val="24"/>
                <w:szCs w:val="24"/>
              </w:rPr>
              <w:t>份，副本</w:t>
            </w:r>
            <w:r>
              <w:rPr>
                <w:rFonts w:hint="eastAsia" w:ascii="宋体" w:hAnsi="宋体" w:cs="宋体"/>
                <w:sz w:val="24"/>
                <w:szCs w:val="24"/>
                <w:u w:val="single"/>
              </w:rPr>
              <w:t>4</w:t>
            </w:r>
            <w:r>
              <w:rPr>
                <w:rFonts w:hint="eastAsia" w:ascii="宋体" w:hAnsi="宋体" w:cs="宋体"/>
                <w:sz w:val="24"/>
                <w:szCs w:val="24"/>
              </w:rPr>
              <w:t>份，密封提交。为节约纸张，建议双面打印。</w:t>
            </w:r>
          </w:p>
          <w:p>
            <w:pPr>
              <w:spacing w:line="0" w:lineRule="atLeast"/>
              <w:rPr>
                <w:rFonts w:ascii="宋体" w:hAnsi="宋体" w:cs="宋体"/>
                <w:sz w:val="24"/>
                <w:szCs w:val="24"/>
              </w:rPr>
            </w:pPr>
            <w:r>
              <w:rPr>
                <w:rFonts w:hint="eastAsia" w:ascii="宋体" w:hAnsi="宋体" w:cs="宋体"/>
                <w:b/>
                <w:bCs/>
                <w:color w:val="0000FF"/>
                <w:sz w:val="24"/>
                <w:szCs w:val="24"/>
              </w:rPr>
              <w:t>如供应商投多个包，则须针对多个包制作投标文件。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jc w:val="center"/>
              <w:rPr>
                <w:rFonts w:ascii="宋体" w:hAnsi="宋体" w:cs="宋体"/>
                <w:sz w:val="24"/>
                <w:szCs w:val="24"/>
              </w:rPr>
            </w:pPr>
            <w:r>
              <w:rPr>
                <w:rFonts w:hint="eastAsia" w:ascii="宋体" w:hAnsi="宋体" w:cs="宋体"/>
                <w:bCs/>
                <w:sz w:val="24"/>
                <w:szCs w:val="24"/>
              </w:rPr>
              <w:t>资格审查方式</w:t>
            </w:r>
          </w:p>
        </w:tc>
        <w:tc>
          <w:tcPr>
            <w:tcW w:w="6355" w:type="dxa"/>
            <w:vAlign w:val="center"/>
          </w:tcPr>
          <w:p>
            <w:pPr>
              <w:rPr>
                <w:rFonts w:ascii="宋体" w:hAnsi="宋体" w:cs="宋体"/>
                <w:sz w:val="24"/>
                <w:szCs w:val="24"/>
              </w:rPr>
            </w:pPr>
            <w:r>
              <w:rPr>
                <w:rFonts w:hint="eastAsia" w:ascii="宋体" w:hAnsi="宋体" w:cs="宋体"/>
                <w:bCs/>
                <w:sz w:val="24"/>
                <w:szCs w:val="24"/>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color w:val="000000" w:themeColor="text1"/>
                <w:sz w:val="24"/>
                <w:szCs w:val="24"/>
              </w:rPr>
            </w:pPr>
            <w:r>
              <w:rPr>
                <w:rFonts w:hint="eastAsia" w:ascii="宋体" w:hAnsi="宋体" w:cs="宋体"/>
                <w:color w:val="000000" w:themeColor="text1"/>
                <w:sz w:val="24"/>
                <w:szCs w:val="24"/>
              </w:rPr>
              <w:t>评标办法</w:t>
            </w:r>
          </w:p>
        </w:tc>
        <w:tc>
          <w:tcPr>
            <w:tcW w:w="6355" w:type="dxa"/>
            <w:vAlign w:val="center"/>
          </w:tcPr>
          <w:p>
            <w:pPr>
              <w:spacing w:line="0" w:lineRule="atLeast"/>
              <w:rPr>
                <w:rFonts w:ascii="宋体" w:hAnsi="宋体" w:cs="宋体"/>
                <w:color w:val="000000" w:themeColor="text1"/>
                <w:sz w:val="24"/>
                <w:szCs w:val="24"/>
              </w:rPr>
            </w:pPr>
            <w:r>
              <w:rPr>
                <w:rFonts w:hint="eastAsia" w:ascii="宋体" w:hAnsi="宋体" w:cs="宋体"/>
                <w:color w:val="000000" w:themeColor="text1"/>
                <w:sz w:val="24"/>
                <w:szCs w:val="24"/>
              </w:rPr>
              <w:t>综合评分法，</w:t>
            </w:r>
            <w:r>
              <w:rPr>
                <w:rFonts w:hint="eastAsia" w:ascii="宋体" w:hAnsi="宋体" w:cs="宋体"/>
                <w:bCs/>
                <w:color w:val="000000" w:themeColor="text1"/>
                <w:sz w:val="24"/>
                <w:szCs w:val="24"/>
              </w:rPr>
              <w:t>详见</w:t>
            </w:r>
            <w:r>
              <w:rPr>
                <w:rFonts w:hint="eastAsia" w:ascii="宋体" w:hAnsi="宋体" w:cs="宋体"/>
                <w:color w:val="000000" w:themeColor="text1"/>
                <w:sz w:val="24"/>
                <w:szCs w:val="24"/>
              </w:rPr>
              <w:t>招标文件</w:t>
            </w:r>
            <w:r>
              <w:rPr>
                <w:rFonts w:hint="eastAsia" w:ascii="宋体" w:hAnsi="宋体" w:cs="宋体"/>
                <w:bCs/>
                <w:color w:val="000000" w:themeColor="text1"/>
                <w:sz w:val="24"/>
                <w:szCs w:val="24"/>
              </w:rPr>
              <w:t>第四章评标办法。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bCs/>
                <w:sz w:val="24"/>
                <w:szCs w:val="24"/>
              </w:rPr>
            </w:pPr>
            <w:r>
              <w:rPr>
                <w:rFonts w:hint="eastAsia" w:ascii="宋体" w:hAnsi="宋体" w:cs="宋体"/>
                <w:bCs/>
                <w:sz w:val="24"/>
                <w:szCs w:val="24"/>
              </w:rPr>
              <w:t>履约保证金</w:t>
            </w:r>
          </w:p>
        </w:tc>
        <w:tc>
          <w:tcPr>
            <w:tcW w:w="6355" w:type="dxa"/>
            <w:vAlign w:val="center"/>
          </w:tcPr>
          <w:p>
            <w:pPr>
              <w:spacing w:line="0" w:lineRule="atLeast"/>
              <w:rPr>
                <w:rFonts w:ascii="宋体" w:hAnsi="宋体" w:cs="宋体"/>
                <w:sz w:val="24"/>
                <w:szCs w:val="24"/>
                <w:highlight w:val="yellow"/>
              </w:rPr>
            </w:pPr>
            <w:r>
              <w:rPr>
                <w:rFonts w:hint="eastAsia" w:ascii="宋体" w:hAnsi="宋体" w:cs="宋体"/>
                <w:sz w:val="24"/>
                <w:szCs w:val="24"/>
                <w:highlight w:val="yellow"/>
              </w:rPr>
              <w:t>合同签订前，各包的中标供应商需向采购人缴纳履约保证金</w:t>
            </w:r>
            <w:r>
              <w:rPr>
                <w:rFonts w:hint="eastAsia" w:ascii="宋体" w:hAnsi="宋体" w:cs="宋体"/>
                <w:b/>
                <w:bCs/>
                <w:color w:val="0000FF"/>
                <w:sz w:val="24"/>
                <w:szCs w:val="24"/>
                <w:highlight w:val="yellow"/>
                <w:u w:val="single"/>
              </w:rPr>
              <w:t>肆拾万元</w:t>
            </w:r>
            <w:r>
              <w:rPr>
                <w:rFonts w:hint="eastAsia" w:ascii="宋体" w:hAnsi="宋体" w:cs="宋体"/>
                <w:sz w:val="24"/>
                <w:szCs w:val="24"/>
                <w:highlight w:val="yellow"/>
              </w:rPr>
              <w:t>整，形式为转账或电汇。</w:t>
            </w:r>
          </w:p>
          <w:p>
            <w:pPr>
              <w:spacing w:line="0" w:lineRule="atLeast"/>
              <w:rPr>
                <w:rFonts w:ascii="宋体" w:hAnsi="宋体" w:cs="宋体"/>
                <w:sz w:val="24"/>
                <w:szCs w:val="24"/>
                <w:highlight w:val="yellow"/>
              </w:rPr>
            </w:pPr>
            <w:r>
              <w:rPr>
                <w:rFonts w:hint="eastAsia" w:ascii="宋体" w:hAnsi="宋体" w:cs="宋体"/>
                <w:sz w:val="24"/>
                <w:szCs w:val="24"/>
                <w:highlight w:val="yellow"/>
              </w:rPr>
              <w:t>本项目履约保证金分以下两部分进行管理：</w:t>
            </w:r>
          </w:p>
          <w:p>
            <w:pPr>
              <w:spacing w:line="0" w:lineRule="atLeast"/>
              <w:rPr>
                <w:rFonts w:ascii="宋体" w:hAnsi="宋体" w:cs="宋体"/>
                <w:color w:val="000000" w:themeColor="text1"/>
                <w:sz w:val="24"/>
                <w:szCs w:val="24"/>
                <w:highlight w:val="yellow"/>
              </w:rPr>
            </w:pPr>
            <w:r>
              <w:rPr>
                <w:rFonts w:hint="eastAsia" w:ascii="宋体" w:hAnsi="宋体" w:cs="宋体"/>
                <w:sz w:val="24"/>
                <w:szCs w:val="24"/>
                <w:highlight w:val="yellow"/>
              </w:rPr>
              <w:t>（1）</w:t>
            </w:r>
            <w:r>
              <w:rPr>
                <w:rFonts w:hint="eastAsia" w:ascii="宋体" w:hAnsi="宋体" w:cs="宋体"/>
                <w:color w:val="000000" w:themeColor="text1"/>
                <w:sz w:val="24"/>
                <w:szCs w:val="24"/>
                <w:highlight w:val="yellow"/>
              </w:rPr>
              <w:t>如中标供应商在承诺期限内完成A级食堂创建，采购人将返还</w:t>
            </w:r>
            <w:r>
              <w:rPr>
                <w:rFonts w:hint="eastAsia" w:ascii="宋体" w:hAnsi="宋体" w:cs="宋体"/>
                <w:color w:val="0909F5"/>
                <w:sz w:val="24"/>
                <w:szCs w:val="24"/>
                <w:highlight w:val="yellow"/>
              </w:rPr>
              <w:t>贰拾万元</w:t>
            </w:r>
            <w:r>
              <w:rPr>
                <w:rFonts w:hint="eastAsia" w:ascii="宋体" w:hAnsi="宋体" w:cs="宋体"/>
                <w:sz w:val="24"/>
                <w:szCs w:val="24"/>
                <w:highlight w:val="yellow"/>
              </w:rPr>
              <w:t>履约保证金</w:t>
            </w:r>
            <w:r>
              <w:rPr>
                <w:rFonts w:hint="eastAsia" w:ascii="宋体" w:hAnsi="宋体" w:cs="宋体"/>
                <w:color w:val="000000" w:themeColor="text1"/>
                <w:sz w:val="24"/>
                <w:szCs w:val="24"/>
                <w:highlight w:val="yellow"/>
              </w:rPr>
              <w:t>；如承诺期限内未完成A级食堂创建，则视同违约，贰拾万元履约保证金不予退还，此笔费用作为违约金将列入捐献基金统一管理使用。</w:t>
            </w:r>
          </w:p>
          <w:p>
            <w:pPr>
              <w:spacing w:line="0" w:lineRule="atLeast"/>
              <w:rPr>
                <w:rFonts w:ascii="宋体" w:hAnsi="宋体" w:cs="宋体"/>
                <w:sz w:val="24"/>
                <w:szCs w:val="24"/>
              </w:rPr>
            </w:pPr>
            <w:r>
              <w:rPr>
                <w:rFonts w:hint="eastAsia" w:ascii="宋体" w:hAnsi="宋体" w:cs="宋体"/>
                <w:sz w:val="24"/>
                <w:szCs w:val="24"/>
                <w:highlight w:val="yellow"/>
              </w:rPr>
              <w:t>（2）</w:t>
            </w:r>
            <w:r>
              <w:rPr>
                <w:rFonts w:hint="eastAsia" w:ascii="宋体" w:hAnsi="宋体" w:cs="宋体"/>
                <w:color w:val="0909F5"/>
                <w:sz w:val="24"/>
                <w:szCs w:val="24"/>
                <w:highlight w:val="yellow"/>
              </w:rPr>
              <w:t>剩余的贰拾万元</w:t>
            </w:r>
            <w:r>
              <w:rPr>
                <w:rFonts w:hint="eastAsia" w:ascii="宋体" w:hAnsi="宋体" w:cs="宋体"/>
                <w:sz w:val="24"/>
                <w:szCs w:val="24"/>
                <w:highlight w:val="yellow"/>
              </w:rPr>
              <w:t>履约保证金都在合同履行完成后无息退还。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4"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spacing w:line="0" w:lineRule="atLeast"/>
              <w:jc w:val="center"/>
              <w:rPr>
                <w:rFonts w:ascii="宋体" w:hAnsi="宋体" w:cs="宋体"/>
                <w:sz w:val="24"/>
                <w:szCs w:val="24"/>
              </w:rPr>
            </w:pPr>
            <w:r>
              <w:rPr>
                <w:rFonts w:hint="eastAsia" w:ascii="宋体" w:hAnsi="宋体" w:cs="宋体"/>
                <w:sz w:val="24"/>
                <w:szCs w:val="24"/>
              </w:rPr>
              <w:t>评标、定标顺序</w:t>
            </w:r>
          </w:p>
        </w:tc>
        <w:tc>
          <w:tcPr>
            <w:tcW w:w="6355" w:type="dxa"/>
            <w:vAlign w:val="center"/>
          </w:tcPr>
          <w:p>
            <w:pPr>
              <w:spacing w:line="0" w:lineRule="atLeast"/>
              <w:ind w:firstLine="480" w:firstLineChars="200"/>
              <w:rPr>
                <w:rFonts w:ascii="宋体" w:hAnsi="宋体" w:cs="宋体"/>
                <w:sz w:val="24"/>
                <w:szCs w:val="18"/>
              </w:rPr>
            </w:pPr>
            <w:r>
              <w:rPr>
                <w:rFonts w:hint="eastAsia" w:ascii="宋体" w:hAnsi="宋体" w:cs="宋体"/>
                <w:sz w:val="24"/>
                <w:szCs w:val="18"/>
              </w:rPr>
              <w:t>本项目评标、定标按1、2、3、4包的顺序进行。投标供应商可选择一个或多个包进行投标，并且最多可以作为其中一个包的第一中标候选人。</w:t>
            </w:r>
          </w:p>
          <w:p>
            <w:pPr>
              <w:spacing w:line="0" w:lineRule="atLeast"/>
              <w:ind w:firstLine="480" w:firstLineChars="200"/>
              <w:rPr>
                <w:rFonts w:ascii="宋体" w:hAnsi="宋体" w:cs="宋体"/>
                <w:sz w:val="24"/>
                <w:szCs w:val="18"/>
              </w:rPr>
            </w:pPr>
            <w:r>
              <w:rPr>
                <w:rFonts w:hint="eastAsia" w:ascii="宋体" w:hAnsi="宋体" w:cs="宋体"/>
                <w:sz w:val="24"/>
                <w:szCs w:val="18"/>
              </w:rPr>
              <w:t>例如某投标供应商为第一包的第一中标候选人，可以参与后续包的投标和评审，但不得作为后续包的中标候选人，以此类推。</w:t>
            </w:r>
          </w:p>
          <w:p>
            <w:pPr>
              <w:spacing w:line="0" w:lineRule="atLeast"/>
              <w:ind w:firstLine="480" w:firstLineChars="200"/>
              <w:rPr>
                <w:rFonts w:ascii="宋体" w:hAnsi="宋体" w:cs="宋体"/>
                <w:sz w:val="24"/>
                <w:szCs w:val="18"/>
                <w:highlight w:val="yellow"/>
              </w:rPr>
            </w:pPr>
            <w:r>
              <w:rPr>
                <w:rFonts w:hint="eastAsia" w:ascii="宋体" w:hAnsi="宋体" w:cs="宋体"/>
                <w:sz w:val="24"/>
                <w:szCs w:val="18"/>
              </w:rPr>
              <w:t>本项目共四个包，每个包由评标委员会根据其具体情况，分别推荐1-3名中标候选人。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0" w:hRule="atLeast"/>
        </w:trPr>
        <w:tc>
          <w:tcPr>
            <w:tcW w:w="866" w:type="dxa"/>
            <w:vAlign w:val="center"/>
          </w:tcPr>
          <w:p>
            <w:pPr>
              <w:pStyle w:val="140"/>
              <w:numPr>
                <w:ilvl w:val="0"/>
                <w:numId w:val="1"/>
              </w:numPr>
              <w:pBdr>
                <w:bottom w:val="none" w:color="auto" w:sz="0" w:space="0"/>
              </w:pBdr>
              <w:tabs>
                <w:tab w:val="clear" w:pos="4153"/>
                <w:tab w:val="clear" w:pos="8306"/>
              </w:tabs>
              <w:adjustRightInd/>
              <w:spacing w:line="0" w:lineRule="atLeast"/>
              <w:textAlignment w:val="auto"/>
              <w:rPr>
                <w:rFonts w:ascii="宋体" w:hAnsi="宋体" w:cs="宋体"/>
                <w:bCs/>
                <w:kern w:val="2"/>
                <w:szCs w:val="24"/>
              </w:rPr>
            </w:pPr>
          </w:p>
        </w:tc>
        <w:tc>
          <w:tcPr>
            <w:tcW w:w="2124" w:type="dxa"/>
            <w:vAlign w:val="center"/>
          </w:tcPr>
          <w:p>
            <w:pPr>
              <w:wordWrap w:val="0"/>
              <w:topLinePunct/>
              <w:spacing w:line="0" w:lineRule="atLeast"/>
              <w:jc w:val="center"/>
              <w:rPr>
                <w:rFonts w:ascii="宋体" w:hAnsi="宋体" w:cs="宋体"/>
                <w:sz w:val="24"/>
                <w:szCs w:val="18"/>
              </w:rPr>
            </w:pPr>
            <w:r>
              <w:rPr>
                <w:rFonts w:hint="eastAsia" w:ascii="宋体" w:hAnsi="宋体" w:cs="宋体"/>
                <w:sz w:val="24"/>
                <w:szCs w:val="18"/>
              </w:rPr>
              <w:t>不良信用记录</w:t>
            </w:r>
          </w:p>
          <w:p>
            <w:pPr>
              <w:wordWrap w:val="0"/>
              <w:topLinePunct/>
              <w:spacing w:line="0" w:lineRule="atLeast"/>
              <w:jc w:val="center"/>
              <w:rPr>
                <w:rFonts w:ascii="宋体" w:hAnsi="宋体" w:cs="宋体"/>
                <w:sz w:val="24"/>
                <w:szCs w:val="18"/>
              </w:rPr>
            </w:pPr>
            <w:r>
              <w:rPr>
                <w:rFonts w:hint="eastAsia" w:ascii="宋体" w:hAnsi="宋体" w:cs="宋体"/>
                <w:sz w:val="24"/>
                <w:szCs w:val="18"/>
              </w:rPr>
              <w:t>查询渠道</w:t>
            </w:r>
          </w:p>
        </w:tc>
        <w:tc>
          <w:tcPr>
            <w:tcW w:w="6355" w:type="dxa"/>
            <w:vAlign w:val="center"/>
          </w:tcPr>
          <w:p>
            <w:pPr>
              <w:kinsoku w:val="0"/>
              <w:overflowPunct w:val="0"/>
              <w:autoSpaceDE w:val="0"/>
              <w:autoSpaceDN w:val="0"/>
              <w:rPr>
                <w:rFonts w:ascii="宋体" w:hAnsi="宋体" w:cs="宋体"/>
                <w:sz w:val="24"/>
                <w:szCs w:val="22"/>
              </w:rPr>
            </w:pPr>
            <w:r>
              <w:rPr>
                <w:rFonts w:hint="eastAsia" w:ascii="宋体" w:hAnsi="宋体" w:cs="宋体"/>
                <w:sz w:val="24"/>
                <w:szCs w:val="22"/>
              </w:rPr>
              <w:t>不良信用记录查询渠道如下：</w:t>
            </w:r>
          </w:p>
          <w:p>
            <w:pPr>
              <w:kinsoku w:val="0"/>
              <w:overflowPunct w:val="0"/>
              <w:autoSpaceDE w:val="0"/>
              <w:autoSpaceDN w:val="0"/>
              <w:jc w:val="left"/>
              <w:rPr>
                <w:rFonts w:ascii="宋体" w:hAnsi="宋体" w:cs="宋体"/>
                <w:sz w:val="24"/>
                <w:szCs w:val="22"/>
              </w:rPr>
            </w:pPr>
            <w:r>
              <w:rPr>
                <w:rFonts w:hint="eastAsia" w:ascii="宋体" w:hAnsi="宋体" w:cs="宋体"/>
                <w:sz w:val="24"/>
                <w:szCs w:val="22"/>
              </w:rPr>
              <w:t>（1）失信被执行人：信用中国官网（www.creditchina.gov.cn）</w:t>
            </w:r>
          </w:p>
          <w:p>
            <w:pPr>
              <w:kinsoku w:val="0"/>
              <w:overflowPunct w:val="0"/>
              <w:autoSpaceDE w:val="0"/>
              <w:autoSpaceDN w:val="0"/>
              <w:jc w:val="left"/>
              <w:rPr>
                <w:rFonts w:ascii="宋体" w:hAnsi="宋体" w:cs="宋体"/>
                <w:sz w:val="24"/>
                <w:szCs w:val="22"/>
              </w:rPr>
            </w:pPr>
            <w:r>
              <w:rPr>
                <w:rFonts w:hint="eastAsia" w:ascii="宋体" w:hAnsi="宋体" w:cs="宋体"/>
                <w:sz w:val="24"/>
                <w:szCs w:val="22"/>
              </w:rPr>
              <w:t>（2）行贿犯罪档案：人民检察院查询；</w:t>
            </w:r>
          </w:p>
          <w:p>
            <w:pPr>
              <w:kinsoku w:val="0"/>
              <w:overflowPunct w:val="0"/>
              <w:autoSpaceDE w:val="0"/>
              <w:autoSpaceDN w:val="0"/>
              <w:jc w:val="left"/>
              <w:rPr>
                <w:rFonts w:ascii="宋体" w:hAnsi="宋体" w:cs="宋体"/>
                <w:sz w:val="24"/>
                <w:szCs w:val="22"/>
              </w:rPr>
            </w:pPr>
            <w:r>
              <w:rPr>
                <w:rFonts w:hint="eastAsia" w:ascii="宋体" w:hAnsi="宋体" w:cs="宋体"/>
                <w:sz w:val="24"/>
                <w:szCs w:val="22"/>
              </w:rPr>
              <w:t>（3）企业经营异常名录：信用中国官网（www.creditchina.gov.cn）</w:t>
            </w:r>
          </w:p>
          <w:p>
            <w:pPr>
              <w:kinsoku w:val="0"/>
              <w:overflowPunct w:val="0"/>
              <w:autoSpaceDE w:val="0"/>
              <w:autoSpaceDN w:val="0"/>
              <w:jc w:val="left"/>
              <w:rPr>
                <w:rFonts w:ascii="宋体" w:hAnsi="宋体" w:cs="宋体"/>
                <w:sz w:val="24"/>
                <w:szCs w:val="22"/>
              </w:rPr>
            </w:pPr>
            <w:r>
              <w:rPr>
                <w:rFonts w:hint="eastAsia" w:ascii="宋体" w:hAnsi="宋体" w:cs="宋体"/>
                <w:sz w:val="24"/>
                <w:szCs w:val="22"/>
              </w:rPr>
              <w:t>（4）重大税收违法案件当事人名单：信用中国官网（www.creditchina.gov.cn）</w:t>
            </w:r>
          </w:p>
          <w:p>
            <w:pPr>
              <w:kinsoku w:val="0"/>
              <w:overflowPunct w:val="0"/>
              <w:autoSpaceDE w:val="0"/>
              <w:autoSpaceDN w:val="0"/>
              <w:jc w:val="left"/>
              <w:rPr>
                <w:rFonts w:ascii="宋体" w:hAnsi="宋体" w:cs="宋体"/>
                <w:sz w:val="24"/>
                <w:szCs w:val="18"/>
              </w:rPr>
            </w:pPr>
            <w:r>
              <w:rPr>
                <w:rFonts w:hint="eastAsia" w:ascii="宋体" w:hAnsi="宋体" w:cs="宋体"/>
                <w:sz w:val="24"/>
                <w:szCs w:val="22"/>
              </w:rPr>
              <w:t>（5）政府采购严重违法失信行为记录名单：中国政府采购官网（www.ccgp.gov.cn）</w:t>
            </w:r>
          </w:p>
        </w:tc>
      </w:tr>
    </w:tbl>
    <w:p>
      <w:pPr>
        <w:spacing w:line="0" w:lineRule="atLeast"/>
        <w:ind w:firstLine="420" w:firstLineChars="200"/>
        <w:rPr>
          <w:rFonts w:ascii="Arial" w:hAnsi="Arial" w:cs="Arial"/>
        </w:rPr>
      </w:pPr>
      <w:bookmarkStart w:id="4" w:name="_Hlt509650027"/>
      <w:bookmarkEnd w:id="4"/>
      <w:bookmarkStart w:id="5" w:name="_Hlt519045778"/>
      <w:bookmarkEnd w:id="5"/>
    </w:p>
    <w:p>
      <w:pPr>
        <w:widowControl/>
        <w:spacing w:line="0" w:lineRule="atLeast"/>
        <w:ind w:firstLine="420" w:firstLineChars="200"/>
        <w:jc w:val="left"/>
        <w:rPr>
          <w:rFonts w:ascii="Arial" w:hAnsi="Arial" w:cs="Arial"/>
          <w:kern w:val="0"/>
          <w:sz w:val="24"/>
          <w:szCs w:val="24"/>
        </w:rPr>
      </w:pPr>
      <w:r>
        <w:rPr>
          <w:rFonts w:eastAsia="宋体" w:cs="Arial"/>
        </w:rPr>
        <w:br w:type="page"/>
      </w:r>
    </w:p>
    <w:p>
      <w:pPr>
        <w:pStyle w:val="3"/>
        <w:spacing w:line="0" w:lineRule="atLeast"/>
        <w:rPr>
          <w:rFonts w:eastAsia="宋体" w:cs="Arial"/>
        </w:rPr>
      </w:pPr>
      <w:bookmarkStart w:id="6" w:name="_Hlt516969057"/>
      <w:bookmarkEnd w:id="6"/>
      <w:bookmarkStart w:id="7" w:name="_Hlt509650351"/>
      <w:bookmarkEnd w:id="7"/>
      <w:bookmarkStart w:id="8" w:name="_Toc6504"/>
      <w:r>
        <w:rPr>
          <w:rFonts w:eastAsia="宋体" w:cs="Arial"/>
        </w:rPr>
        <w:t>评标办法</w:t>
      </w:r>
      <w:bookmarkEnd w:id="8"/>
    </w:p>
    <w:p>
      <w:pPr>
        <w:tabs>
          <w:tab w:val="left" w:pos="360"/>
          <w:tab w:val="left" w:pos="540"/>
          <w:tab w:val="left" w:pos="3600"/>
          <w:tab w:val="left" w:pos="3780"/>
          <w:tab w:val="left" w:pos="8460"/>
          <w:tab w:val="left" w:pos="9180"/>
        </w:tabs>
        <w:adjustRightInd w:val="0"/>
        <w:snapToGrid w:val="0"/>
        <w:spacing w:line="0" w:lineRule="atLeast"/>
        <w:ind w:right="-21" w:rightChars="-10"/>
        <w:jc w:val="center"/>
        <w:rPr>
          <w:rFonts w:ascii="Arial" w:hAnsi="Arial" w:cs="Arial"/>
          <w:b/>
          <w:sz w:val="24"/>
        </w:rPr>
      </w:pPr>
      <w:r>
        <w:rPr>
          <w:rFonts w:ascii="Arial" w:hAnsi="Arial" w:cs="Arial"/>
          <w:b/>
          <w:sz w:val="24"/>
        </w:rPr>
        <w:t>一．总则</w:t>
      </w:r>
    </w:p>
    <w:p>
      <w:pPr>
        <w:adjustRightInd w:val="0"/>
        <w:snapToGrid w:val="0"/>
        <w:spacing w:line="0" w:lineRule="atLeast"/>
        <w:ind w:right="-10" w:firstLine="472" w:firstLineChars="196"/>
        <w:rPr>
          <w:rFonts w:ascii="Arial" w:hAnsi="Arial" w:cs="Arial"/>
          <w:bCs/>
          <w:sz w:val="24"/>
        </w:rPr>
      </w:pPr>
      <w:r>
        <w:rPr>
          <w:rFonts w:ascii="Arial" w:hAnsi="Arial" w:cs="Arial"/>
          <w:b/>
          <w:bCs/>
          <w:sz w:val="24"/>
        </w:rPr>
        <w:t>第一条</w:t>
      </w:r>
      <w:r>
        <w:rPr>
          <w:rFonts w:ascii="Arial" w:hAnsi="Arial" w:cs="Arial"/>
          <w:bCs/>
          <w:sz w:val="24"/>
        </w:rPr>
        <w:t>为了做好</w:t>
      </w:r>
      <w:r>
        <w:rPr>
          <w:rFonts w:hint="eastAsia" w:ascii="Arial" w:hAnsi="Arial" w:cs="Arial"/>
          <w:bCs/>
          <w:sz w:val="24"/>
        </w:rPr>
        <w:t>池州学院食堂委托经营项目</w:t>
      </w:r>
      <w:r>
        <w:rPr>
          <w:rFonts w:ascii="Arial" w:hAnsi="Arial" w:cs="Arial"/>
          <w:bCs/>
          <w:sz w:val="24"/>
        </w:rPr>
        <w:t>（项目编号：</w:t>
      </w:r>
      <w:r>
        <w:rPr>
          <w:rFonts w:hint="eastAsia" w:ascii="Arial" w:hAnsi="Arial" w:cs="Arial"/>
          <w:bCs/>
          <w:sz w:val="24"/>
        </w:rPr>
        <w:t>ZB201804102</w:t>
      </w:r>
      <w:r>
        <w:rPr>
          <w:rFonts w:ascii="Arial" w:hAnsi="Arial" w:cs="Arial"/>
          <w:bCs/>
          <w:sz w:val="24"/>
        </w:rPr>
        <w:t>）的招标评标工作，保证项目评审工作的正常有序进行，维护</w:t>
      </w:r>
      <w:r>
        <w:rPr>
          <w:rFonts w:hint="eastAsia" w:ascii="Arial" w:hAnsi="Arial" w:cs="Arial"/>
          <w:bCs/>
          <w:sz w:val="24"/>
        </w:rPr>
        <w:t>采购人</w:t>
      </w:r>
      <w:r>
        <w:rPr>
          <w:rFonts w:ascii="Arial" w:hAnsi="Arial" w:cs="Arial"/>
          <w:bCs/>
          <w:sz w:val="24"/>
        </w:rPr>
        <w:t>、</w:t>
      </w:r>
      <w:r>
        <w:rPr>
          <w:rFonts w:hint="eastAsia" w:ascii="Arial" w:hAnsi="Arial" w:cs="Arial"/>
          <w:bCs/>
          <w:sz w:val="24"/>
        </w:rPr>
        <w:t>供应商</w:t>
      </w:r>
      <w:r>
        <w:rPr>
          <w:rFonts w:ascii="Arial" w:hAnsi="Arial" w:cs="Arial"/>
          <w:bCs/>
          <w:sz w:val="24"/>
        </w:rPr>
        <w:t>的合法权益，依据</w:t>
      </w:r>
      <w:r>
        <w:rPr>
          <w:rFonts w:hint="eastAsia" w:ascii="Arial" w:hAnsi="Arial" w:cs="Arial"/>
          <w:bCs/>
          <w:sz w:val="24"/>
        </w:rPr>
        <w:t>相关</w:t>
      </w:r>
      <w:r>
        <w:rPr>
          <w:rFonts w:ascii="Arial" w:hAnsi="Arial" w:cs="Arial"/>
          <w:bCs/>
          <w:sz w:val="24"/>
        </w:rPr>
        <w:t>法律法规，本着公开、公平、公正的原则，制定本评标办法。</w:t>
      </w:r>
    </w:p>
    <w:p>
      <w:pPr>
        <w:adjustRightInd w:val="0"/>
        <w:snapToGrid w:val="0"/>
        <w:spacing w:line="0" w:lineRule="atLeast"/>
        <w:ind w:right="-10" w:firstLine="472" w:firstLineChars="196"/>
        <w:rPr>
          <w:rFonts w:ascii="Arial" w:hAnsi="Arial" w:cs="Arial"/>
          <w:bCs/>
          <w:sz w:val="24"/>
        </w:rPr>
      </w:pPr>
      <w:r>
        <w:rPr>
          <w:rFonts w:ascii="Arial" w:hAnsi="Arial" w:cs="Arial"/>
          <w:b/>
          <w:bCs/>
          <w:sz w:val="24"/>
        </w:rPr>
        <w:t>第二条</w:t>
      </w:r>
      <w:r>
        <w:rPr>
          <w:rFonts w:ascii="Arial" w:hAnsi="Arial" w:cs="Arial"/>
          <w:bCs/>
          <w:sz w:val="24"/>
        </w:rPr>
        <w:t>本次项目评标办法采用</w:t>
      </w:r>
      <w:r>
        <w:rPr>
          <w:rFonts w:ascii="Arial" w:hAnsi="Arial" w:cs="Arial"/>
          <w:b/>
          <w:bCs/>
          <w:sz w:val="24"/>
        </w:rPr>
        <w:t>综合评分法</w:t>
      </w:r>
      <w:r>
        <w:rPr>
          <w:rFonts w:ascii="Arial" w:hAnsi="Arial" w:cs="Arial"/>
          <w:bCs/>
          <w:sz w:val="24"/>
        </w:rPr>
        <w:t>。</w:t>
      </w:r>
    </w:p>
    <w:p>
      <w:pPr>
        <w:adjustRightInd w:val="0"/>
        <w:snapToGrid w:val="0"/>
        <w:spacing w:line="0" w:lineRule="atLeast"/>
        <w:ind w:right="-10" w:firstLine="472" w:firstLineChars="196"/>
        <w:rPr>
          <w:rFonts w:ascii="Arial" w:hAnsi="Arial" w:cs="Arial"/>
          <w:bCs/>
          <w:sz w:val="24"/>
        </w:rPr>
      </w:pPr>
      <w:r>
        <w:rPr>
          <w:rFonts w:ascii="Arial" w:hAnsi="Arial" w:cs="Arial"/>
          <w:b/>
          <w:bCs/>
          <w:sz w:val="24"/>
        </w:rPr>
        <w:t>第三条</w:t>
      </w:r>
      <w:r>
        <w:rPr>
          <w:rFonts w:ascii="Arial" w:hAnsi="Arial" w:cs="Arial"/>
          <w:bCs/>
          <w:sz w:val="24"/>
        </w:rPr>
        <w:t>本项目将依法组建不少于</w:t>
      </w:r>
      <w:r>
        <w:rPr>
          <w:rFonts w:ascii="Arial" w:hAnsi="Arial" w:cs="Arial"/>
          <w:bCs/>
          <w:sz w:val="24"/>
          <w:u w:val="single"/>
        </w:rPr>
        <w:t>5</w:t>
      </w:r>
      <w:r>
        <w:rPr>
          <w:rFonts w:ascii="Arial" w:hAnsi="Arial" w:cs="Arial"/>
          <w:bCs/>
          <w:sz w:val="24"/>
        </w:rPr>
        <w:t>人组成的评标委员会，负责本项目的评标工作</w:t>
      </w:r>
      <w:r>
        <w:rPr>
          <w:rFonts w:hint="eastAsia" w:ascii="Arial" w:hAnsi="Arial" w:cs="Arial"/>
          <w:bCs/>
          <w:sz w:val="24"/>
        </w:rPr>
        <w:t>，其中，管理、技术、经济等方面的专家不得少于成员总数的三分之二。</w:t>
      </w:r>
    </w:p>
    <w:p>
      <w:pPr>
        <w:adjustRightInd w:val="0"/>
        <w:snapToGrid w:val="0"/>
        <w:spacing w:line="0" w:lineRule="atLeast"/>
        <w:ind w:right="-10" w:firstLine="472" w:firstLineChars="196"/>
        <w:rPr>
          <w:rFonts w:ascii="Arial" w:hAnsi="Arial" w:cs="Arial"/>
          <w:bCs/>
          <w:sz w:val="24"/>
        </w:rPr>
      </w:pPr>
      <w:r>
        <w:rPr>
          <w:rFonts w:ascii="Arial" w:hAnsi="Arial" w:cs="Arial"/>
          <w:b/>
          <w:bCs/>
          <w:sz w:val="24"/>
        </w:rPr>
        <w:t>第四条</w:t>
      </w:r>
      <w:r>
        <w:rPr>
          <w:rFonts w:ascii="Arial" w:hAnsi="Arial" w:cs="Arial"/>
          <w:bCs/>
          <w:sz w:val="24"/>
        </w:rPr>
        <w:t>评标委员会按照</w:t>
      </w:r>
      <w:r>
        <w:rPr>
          <w:rFonts w:hint="eastAsia" w:ascii="Arial" w:hAnsi="Arial" w:cs="Arial"/>
          <w:bCs/>
          <w:sz w:val="24"/>
        </w:rPr>
        <w:t>“</w:t>
      </w:r>
      <w:r>
        <w:rPr>
          <w:rFonts w:ascii="Arial" w:hAnsi="Arial" w:cs="Arial"/>
          <w:bCs/>
          <w:sz w:val="24"/>
        </w:rPr>
        <w:t>客观公正，实事求是</w:t>
      </w:r>
      <w:r>
        <w:rPr>
          <w:rFonts w:hint="eastAsia" w:ascii="Arial" w:hAnsi="Arial" w:cs="Arial"/>
          <w:bCs/>
          <w:sz w:val="24"/>
        </w:rPr>
        <w:t>”</w:t>
      </w:r>
      <w:r>
        <w:rPr>
          <w:rFonts w:ascii="Arial" w:hAnsi="Arial" w:cs="Arial"/>
          <w:bCs/>
          <w:sz w:val="24"/>
        </w:rPr>
        <w:t>的原则，评价参加本次招标的</w:t>
      </w:r>
      <w:r>
        <w:rPr>
          <w:rFonts w:hint="eastAsia" w:ascii="Arial" w:hAnsi="Arial" w:cs="Arial"/>
          <w:bCs/>
          <w:sz w:val="24"/>
        </w:rPr>
        <w:t>供应商</w:t>
      </w:r>
      <w:r>
        <w:rPr>
          <w:rFonts w:ascii="Arial" w:hAnsi="Arial" w:cs="Arial"/>
          <w:bCs/>
          <w:sz w:val="24"/>
        </w:rPr>
        <w:t>所提供的产品价格、性能、质量、服务及对招标文件的符合性及响应性。</w:t>
      </w:r>
    </w:p>
    <w:p>
      <w:pPr>
        <w:adjustRightInd w:val="0"/>
        <w:snapToGrid w:val="0"/>
        <w:spacing w:line="0" w:lineRule="atLeast"/>
        <w:ind w:right="-10"/>
        <w:jc w:val="center"/>
        <w:rPr>
          <w:rFonts w:ascii="Arial" w:hAnsi="Arial" w:cs="Arial"/>
          <w:sz w:val="24"/>
        </w:rPr>
      </w:pPr>
      <w:r>
        <w:rPr>
          <w:rFonts w:ascii="Arial" w:hAnsi="Arial" w:cs="Arial"/>
          <w:b/>
          <w:sz w:val="24"/>
        </w:rPr>
        <w:t>二．评标程序及评审细则</w:t>
      </w:r>
    </w:p>
    <w:p>
      <w:pPr>
        <w:adjustRightInd w:val="0"/>
        <w:snapToGrid w:val="0"/>
        <w:spacing w:line="0" w:lineRule="atLeast"/>
        <w:ind w:right="-10" w:firstLine="480"/>
        <w:rPr>
          <w:rFonts w:ascii="Arial" w:hAnsi="Arial" w:cs="Arial"/>
          <w:sz w:val="24"/>
        </w:rPr>
      </w:pPr>
      <w:r>
        <w:rPr>
          <w:rFonts w:ascii="Arial" w:hAnsi="Arial" w:cs="Arial"/>
          <w:b/>
          <w:sz w:val="24"/>
        </w:rPr>
        <w:t>第五条</w:t>
      </w:r>
      <w:r>
        <w:rPr>
          <w:rFonts w:ascii="Arial" w:hAnsi="Arial" w:cs="Arial"/>
          <w:sz w:val="24"/>
        </w:rPr>
        <w:t>评标工作于开标后进行。评标委员会应认真研究招标文件，至少应了解和熟悉以下内容：</w:t>
      </w:r>
    </w:p>
    <w:p>
      <w:pPr>
        <w:spacing w:line="0" w:lineRule="atLeast"/>
        <w:ind w:right="-10" w:firstLine="480" w:firstLineChars="200"/>
        <w:rPr>
          <w:rFonts w:ascii="Arial" w:hAnsi="Arial" w:cs="Arial"/>
          <w:sz w:val="24"/>
        </w:rPr>
      </w:pPr>
      <w:r>
        <w:rPr>
          <w:rFonts w:ascii="Arial" w:hAnsi="Arial" w:cs="Arial"/>
          <w:sz w:val="24"/>
        </w:rPr>
        <w:t>（一）招标的目标；</w:t>
      </w:r>
    </w:p>
    <w:p>
      <w:pPr>
        <w:spacing w:line="0" w:lineRule="atLeast"/>
        <w:ind w:right="-10" w:firstLine="480" w:firstLineChars="200"/>
        <w:rPr>
          <w:rFonts w:ascii="Arial" w:hAnsi="Arial" w:cs="Arial"/>
          <w:sz w:val="24"/>
        </w:rPr>
      </w:pPr>
      <w:r>
        <w:rPr>
          <w:rFonts w:ascii="Arial" w:hAnsi="Arial" w:cs="Arial"/>
          <w:sz w:val="24"/>
        </w:rPr>
        <w:t>（二）招标项目的范围和性质；</w:t>
      </w:r>
    </w:p>
    <w:p>
      <w:pPr>
        <w:spacing w:line="0" w:lineRule="atLeast"/>
        <w:ind w:right="-10" w:firstLine="480" w:firstLineChars="200"/>
        <w:rPr>
          <w:rFonts w:ascii="Arial" w:hAnsi="Arial" w:cs="Arial"/>
          <w:sz w:val="24"/>
        </w:rPr>
      </w:pPr>
      <w:r>
        <w:rPr>
          <w:rFonts w:ascii="Arial" w:hAnsi="Arial" w:cs="Arial"/>
          <w:sz w:val="24"/>
        </w:rPr>
        <w:t>（三）招标文件中规定的主要技术要求、标准和商务条款；</w:t>
      </w:r>
    </w:p>
    <w:p>
      <w:pPr>
        <w:spacing w:line="0" w:lineRule="atLeast"/>
        <w:ind w:right="-10" w:firstLine="480" w:firstLineChars="200"/>
        <w:rPr>
          <w:rFonts w:ascii="Arial" w:hAnsi="Arial" w:cs="Arial"/>
          <w:sz w:val="24"/>
        </w:rPr>
      </w:pPr>
      <w:r>
        <w:rPr>
          <w:rFonts w:ascii="Arial" w:hAnsi="Arial" w:cs="Arial"/>
          <w:sz w:val="24"/>
        </w:rPr>
        <w:t>（四）招标文件规定的评标标准、评标方法和在评标过程中考虑的相关因素。</w:t>
      </w:r>
    </w:p>
    <w:p>
      <w:pPr>
        <w:adjustRightInd w:val="0"/>
        <w:snapToGrid w:val="0"/>
        <w:spacing w:line="0" w:lineRule="atLeast"/>
        <w:ind w:right="-10" w:firstLine="482" w:firstLineChars="200"/>
        <w:rPr>
          <w:rFonts w:ascii="Arial" w:hAnsi="Arial" w:cs="Arial"/>
          <w:sz w:val="24"/>
        </w:rPr>
      </w:pPr>
      <w:r>
        <w:rPr>
          <w:rFonts w:ascii="Arial" w:hAnsi="Arial" w:cs="Arial"/>
          <w:b/>
          <w:sz w:val="24"/>
        </w:rPr>
        <w:t>第六条</w:t>
      </w:r>
      <w:r>
        <w:rPr>
          <w:rFonts w:ascii="Arial" w:hAnsi="Arial" w:cs="Arial"/>
          <w:sz w:val="24"/>
        </w:rPr>
        <w:t>评标委员会遵循公开、公平、公正和科学诚信的原则，按照招标文件规定的评标办法对投标文件采用相同程序和标准独立进行评定。</w:t>
      </w:r>
    </w:p>
    <w:p>
      <w:pPr>
        <w:adjustRightInd w:val="0"/>
        <w:snapToGrid w:val="0"/>
        <w:spacing w:line="0" w:lineRule="atLeast"/>
        <w:ind w:right="-10" w:firstLine="482" w:firstLineChars="200"/>
        <w:rPr>
          <w:rFonts w:ascii="Arial" w:hAnsi="Arial" w:cs="Arial"/>
          <w:sz w:val="24"/>
        </w:rPr>
      </w:pPr>
      <w:r>
        <w:rPr>
          <w:rFonts w:ascii="Arial" w:hAnsi="Arial" w:cs="Arial"/>
          <w:b/>
          <w:sz w:val="24"/>
        </w:rPr>
        <w:t>第七条</w:t>
      </w:r>
      <w:r>
        <w:rPr>
          <w:rFonts w:ascii="Arial" w:hAnsi="Arial" w:cs="Arial"/>
          <w:sz w:val="24"/>
        </w:rPr>
        <w:t>评审中，评标委员会发现</w:t>
      </w:r>
      <w:r>
        <w:rPr>
          <w:rFonts w:hint="eastAsia" w:ascii="Arial" w:hAnsi="Arial" w:cs="Arial"/>
          <w:sz w:val="24"/>
        </w:rPr>
        <w:t>供应商</w:t>
      </w:r>
      <w:r>
        <w:rPr>
          <w:rFonts w:ascii="Arial" w:hAnsi="Arial" w:cs="Arial"/>
          <w:sz w:val="24"/>
        </w:rPr>
        <w:t>的投标文件中对同类问题表述不一致、前后矛盾、有明显文字和计算错误的内容、有可能不符合招标文件规定等情况需要澄清时，评标委员会将以询标的方式告知并要求</w:t>
      </w:r>
      <w:r>
        <w:rPr>
          <w:rFonts w:hint="eastAsia" w:ascii="Arial" w:hAnsi="Arial" w:cs="Arial"/>
          <w:sz w:val="24"/>
        </w:rPr>
        <w:t>供应商</w:t>
      </w:r>
      <w:r>
        <w:rPr>
          <w:rFonts w:ascii="Arial" w:hAnsi="Arial" w:cs="Arial"/>
          <w:sz w:val="24"/>
        </w:rPr>
        <w:t>以书面方式进行必要的澄清、说明或补正。对于询标后判定为不符合招标文件的投标文件，评标委员会要提出充足的否定理由，并予以书面记录。最终对</w:t>
      </w:r>
      <w:r>
        <w:rPr>
          <w:rFonts w:hint="eastAsia" w:ascii="Arial" w:hAnsi="Arial" w:cs="Arial"/>
          <w:sz w:val="24"/>
        </w:rPr>
        <w:t>供应商</w:t>
      </w:r>
      <w:r>
        <w:rPr>
          <w:rFonts w:ascii="Arial" w:hAnsi="Arial" w:cs="Arial"/>
          <w:sz w:val="24"/>
        </w:rPr>
        <w:t>的评审结论分为通过和未通过。</w:t>
      </w:r>
    </w:p>
    <w:p>
      <w:pPr>
        <w:adjustRightInd w:val="0"/>
        <w:snapToGrid w:val="0"/>
        <w:spacing w:line="0" w:lineRule="atLeast"/>
        <w:ind w:right="-10" w:firstLine="482" w:firstLineChars="200"/>
        <w:rPr>
          <w:rFonts w:ascii="Arial" w:hAnsi="Arial" w:cs="Arial"/>
          <w:sz w:val="24"/>
        </w:rPr>
      </w:pPr>
      <w:r>
        <w:rPr>
          <w:rFonts w:ascii="Arial" w:hAnsi="Arial" w:cs="Arial"/>
          <w:b/>
          <w:sz w:val="24"/>
        </w:rPr>
        <w:t>第八条</w:t>
      </w:r>
      <w:r>
        <w:rPr>
          <w:rFonts w:ascii="Arial" w:hAnsi="Arial" w:cs="Arial"/>
          <w:sz w:val="24"/>
        </w:rPr>
        <w:t>综合评分法，是指投标文件满足招标文件全部实质性要求且按照评审因素的量化指标评审得分最高的</w:t>
      </w:r>
      <w:r>
        <w:rPr>
          <w:rFonts w:hint="eastAsia" w:ascii="Arial" w:hAnsi="Arial" w:cs="Arial"/>
          <w:sz w:val="24"/>
        </w:rPr>
        <w:t>供应商</w:t>
      </w:r>
      <w:r>
        <w:rPr>
          <w:rFonts w:ascii="Arial" w:hAnsi="Arial" w:cs="Arial"/>
          <w:sz w:val="24"/>
        </w:rPr>
        <w:t>为中标候选人的评标方法。满分为100分。评审程序如下：</w:t>
      </w:r>
    </w:p>
    <w:p>
      <w:pPr>
        <w:adjustRightInd w:val="0"/>
        <w:snapToGrid w:val="0"/>
        <w:spacing w:line="0" w:lineRule="atLeast"/>
        <w:ind w:right="-10" w:firstLine="480" w:firstLineChars="200"/>
        <w:rPr>
          <w:rFonts w:ascii="Arial" w:hAnsi="Arial" w:cs="Arial"/>
          <w:bCs/>
          <w:sz w:val="24"/>
        </w:rPr>
      </w:pPr>
      <w:r>
        <w:rPr>
          <w:rFonts w:ascii="Arial" w:hAnsi="Arial" w:cs="Arial"/>
          <w:sz w:val="24"/>
        </w:rPr>
        <w:t>1、评标委员会首先对投标文件进行初审。投标文件应满足招标文件的实质性要求，无重大偏离、保留或</w:t>
      </w:r>
      <w:r>
        <w:rPr>
          <w:rFonts w:hint="eastAsia" w:ascii="Arial" w:hAnsi="Arial" w:cs="Arial"/>
          <w:sz w:val="24"/>
        </w:rPr>
        <w:t>采购人</w:t>
      </w:r>
      <w:r>
        <w:rPr>
          <w:rFonts w:ascii="Arial" w:hAnsi="Arial" w:cs="Arial"/>
          <w:sz w:val="24"/>
        </w:rPr>
        <w:t>不能接收的附加条件。</w:t>
      </w:r>
    </w:p>
    <w:p>
      <w:pPr>
        <w:adjustRightInd w:val="0"/>
        <w:snapToGrid w:val="0"/>
        <w:spacing w:line="0" w:lineRule="atLeast"/>
        <w:ind w:right="-10" w:firstLine="480" w:firstLineChars="200"/>
        <w:rPr>
          <w:rFonts w:ascii="Arial" w:hAnsi="Arial" w:cs="Arial"/>
          <w:bCs/>
          <w:sz w:val="24"/>
        </w:rPr>
      </w:pPr>
      <w:r>
        <w:rPr>
          <w:rFonts w:ascii="Arial" w:hAnsi="Arial" w:cs="Arial"/>
          <w:sz w:val="24"/>
        </w:rPr>
        <w:t>评标委员会按下表内容进行投标资格性、</w:t>
      </w:r>
      <w:r>
        <w:rPr>
          <w:rFonts w:hint="eastAsia" w:ascii="Arial" w:hAnsi="Arial" w:cs="Arial"/>
          <w:sz w:val="24"/>
        </w:rPr>
        <w:t>符合性</w:t>
      </w:r>
      <w:r>
        <w:rPr>
          <w:rFonts w:ascii="Arial" w:hAnsi="Arial" w:cs="Arial"/>
          <w:sz w:val="24"/>
        </w:rPr>
        <w:t>评审。评审时，评标委员会将审查投标文件是否符合招标文件的初审指标要求。如果投标文件未通过投标</w:t>
      </w:r>
      <w:r>
        <w:rPr>
          <w:rFonts w:hint="eastAsia" w:ascii="Arial" w:hAnsi="Arial" w:cs="Arial"/>
          <w:sz w:val="24"/>
        </w:rPr>
        <w:t>初审</w:t>
      </w:r>
      <w:r>
        <w:rPr>
          <w:rFonts w:ascii="Arial" w:hAnsi="Arial" w:cs="Arial"/>
          <w:sz w:val="24"/>
        </w:rPr>
        <w:t>，投标无效。</w:t>
      </w:r>
    </w:p>
    <w:tbl>
      <w:tblPr>
        <w:tblStyle w:val="65"/>
        <w:tblW w:w="91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3110"/>
        <w:gridCol w:w="983"/>
        <w:gridCol w:w="2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9161" w:type="dxa"/>
            <w:gridSpan w:val="5"/>
            <w:vAlign w:val="center"/>
          </w:tcPr>
          <w:p>
            <w:pPr>
              <w:pStyle w:val="140"/>
              <w:pBdr>
                <w:bottom w:val="none" w:color="auto" w:sz="0" w:space="0"/>
              </w:pBdr>
              <w:tabs>
                <w:tab w:val="clear" w:pos="4153"/>
                <w:tab w:val="clear" w:pos="8306"/>
              </w:tabs>
              <w:snapToGrid w:val="0"/>
              <w:spacing w:line="240" w:lineRule="auto"/>
              <w:ind w:firstLine="422"/>
              <w:textAlignment w:val="auto"/>
              <w:rPr>
                <w:rFonts w:ascii="Arial" w:hAnsi="Arial" w:cs="Arial"/>
                <w:kern w:val="2"/>
                <w:szCs w:val="24"/>
              </w:rPr>
            </w:pPr>
            <w:r>
              <w:rPr>
                <w:rFonts w:hint="eastAsia" w:ascii="Arial" w:hAnsi="Arial" w:cs="Arial"/>
                <w:b/>
              </w:rPr>
              <w:t>池州学院食堂委托经营项目初</w:t>
            </w:r>
            <w:r>
              <w:rPr>
                <w:rFonts w:ascii="Arial" w:hAnsi="Arial" w:cs="Arial"/>
                <w:b/>
              </w:rPr>
              <w:t>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9161" w:type="dxa"/>
            <w:gridSpan w:val="5"/>
            <w:vAlign w:val="center"/>
          </w:tcPr>
          <w:p>
            <w:pPr>
              <w:adjustRightInd w:val="0"/>
              <w:snapToGrid w:val="0"/>
              <w:rPr>
                <w:rFonts w:ascii="Arial" w:hAnsi="Arial" w:cs="Arial"/>
                <w:sz w:val="24"/>
              </w:rPr>
            </w:pPr>
            <w:r>
              <w:rPr>
                <w:rFonts w:hint="eastAsia" w:ascii="Arial" w:hAnsi="Arial" w:cs="Arial"/>
                <w:sz w:val="24"/>
              </w:rPr>
              <w:t>供应商</w:t>
            </w:r>
            <w:r>
              <w:rPr>
                <w:rFonts w:ascii="Arial" w:hAnsi="Arial" w:cs="Arial"/>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9161" w:type="dxa"/>
            <w:gridSpan w:val="5"/>
            <w:vAlign w:val="center"/>
          </w:tcPr>
          <w:p>
            <w:pPr>
              <w:adjustRightInd w:val="0"/>
              <w:snapToGrid w:val="0"/>
              <w:rPr>
                <w:rFonts w:ascii="Arial" w:hAnsi="Arial" w:cs="Arial"/>
                <w:b/>
                <w:bCs/>
                <w:sz w:val="24"/>
              </w:rPr>
            </w:pPr>
            <w:r>
              <w:rPr>
                <w:rFonts w:ascii="Arial" w:hAnsi="Arial" w:cs="Arial"/>
                <w:b/>
                <w:bCs/>
                <w:sz w:val="24"/>
              </w:rPr>
              <w:t>初审指标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20" w:type="dxa"/>
            <w:tcBorders>
              <w:bottom w:val="single" w:color="auto" w:sz="4" w:space="0"/>
            </w:tcBorders>
            <w:vAlign w:val="center"/>
          </w:tcPr>
          <w:p>
            <w:pPr>
              <w:adjustRightInd w:val="0"/>
              <w:snapToGrid w:val="0"/>
              <w:jc w:val="center"/>
              <w:rPr>
                <w:rFonts w:ascii="Arial" w:hAnsi="Arial" w:cs="Arial"/>
                <w:sz w:val="24"/>
              </w:rPr>
            </w:pPr>
            <w:r>
              <w:rPr>
                <w:rFonts w:ascii="Arial" w:hAnsi="Arial" w:cs="Arial"/>
                <w:sz w:val="24"/>
              </w:rPr>
              <w:t>序号</w:t>
            </w:r>
          </w:p>
        </w:tc>
        <w:tc>
          <w:tcPr>
            <w:tcW w:w="1980" w:type="dxa"/>
            <w:tcBorders>
              <w:bottom w:val="single" w:color="auto" w:sz="4" w:space="0"/>
            </w:tcBorders>
            <w:vAlign w:val="center"/>
          </w:tcPr>
          <w:p>
            <w:pPr>
              <w:pStyle w:val="140"/>
              <w:pBdr>
                <w:bottom w:val="none" w:color="auto" w:sz="0" w:space="0"/>
              </w:pBdr>
              <w:tabs>
                <w:tab w:val="clear" w:pos="4153"/>
                <w:tab w:val="clear" w:pos="8306"/>
              </w:tabs>
              <w:snapToGrid w:val="0"/>
              <w:spacing w:line="240" w:lineRule="auto"/>
              <w:textAlignment w:val="auto"/>
              <w:rPr>
                <w:rFonts w:ascii="Arial" w:hAnsi="Arial" w:cs="Arial"/>
                <w:kern w:val="2"/>
                <w:szCs w:val="24"/>
              </w:rPr>
            </w:pPr>
            <w:r>
              <w:rPr>
                <w:rFonts w:ascii="Arial" w:hAnsi="Arial" w:cs="Arial"/>
                <w:kern w:val="2"/>
                <w:szCs w:val="24"/>
              </w:rPr>
              <w:t>指标名称</w:t>
            </w:r>
          </w:p>
        </w:tc>
        <w:tc>
          <w:tcPr>
            <w:tcW w:w="3110" w:type="dxa"/>
            <w:tcBorders>
              <w:bottom w:val="single" w:color="auto" w:sz="4" w:space="0"/>
            </w:tcBorders>
            <w:vAlign w:val="center"/>
          </w:tcPr>
          <w:p>
            <w:pPr>
              <w:adjustRightInd w:val="0"/>
              <w:snapToGrid w:val="0"/>
              <w:jc w:val="center"/>
              <w:rPr>
                <w:rFonts w:ascii="Arial" w:hAnsi="Arial" w:cs="Arial"/>
                <w:sz w:val="24"/>
              </w:rPr>
            </w:pPr>
            <w:r>
              <w:rPr>
                <w:rFonts w:ascii="Arial" w:hAnsi="Arial" w:cs="Arial"/>
                <w:sz w:val="24"/>
              </w:rPr>
              <w:t>指标要求</w:t>
            </w:r>
          </w:p>
        </w:tc>
        <w:tc>
          <w:tcPr>
            <w:tcW w:w="983" w:type="dxa"/>
            <w:tcBorders>
              <w:bottom w:val="single" w:color="auto" w:sz="4" w:space="0"/>
            </w:tcBorders>
            <w:vAlign w:val="center"/>
          </w:tcPr>
          <w:p>
            <w:pPr>
              <w:adjustRightInd w:val="0"/>
              <w:snapToGrid w:val="0"/>
              <w:jc w:val="center"/>
              <w:rPr>
                <w:rFonts w:ascii="Arial" w:hAnsi="Arial" w:cs="Arial"/>
                <w:sz w:val="24"/>
              </w:rPr>
            </w:pPr>
            <w:r>
              <w:rPr>
                <w:rFonts w:ascii="Arial" w:hAnsi="Arial" w:cs="Arial"/>
                <w:sz w:val="24"/>
              </w:rPr>
              <w:t>是否</w:t>
            </w:r>
          </w:p>
          <w:p>
            <w:pPr>
              <w:adjustRightInd w:val="0"/>
              <w:snapToGrid w:val="0"/>
              <w:jc w:val="center"/>
              <w:rPr>
                <w:rFonts w:ascii="Arial" w:hAnsi="Arial" w:cs="Arial"/>
                <w:sz w:val="24"/>
              </w:rPr>
            </w:pPr>
            <w:r>
              <w:rPr>
                <w:rFonts w:ascii="Arial" w:hAnsi="Arial" w:cs="Arial"/>
                <w:sz w:val="24"/>
              </w:rPr>
              <w:t>通过</w:t>
            </w:r>
          </w:p>
        </w:tc>
        <w:tc>
          <w:tcPr>
            <w:tcW w:w="2368" w:type="dxa"/>
            <w:tcBorders>
              <w:bottom w:val="single" w:color="auto" w:sz="4" w:space="0"/>
            </w:tcBorders>
            <w:vAlign w:val="center"/>
          </w:tcPr>
          <w:p>
            <w:pPr>
              <w:adjustRightInd w:val="0"/>
              <w:snapToGrid w:val="0"/>
              <w:jc w:val="center"/>
              <w:rPr>
                <w:rFonts w:ascii="Arial" w:hAnsi="Arial" w:cs="Arial"/>
                <w:sz w:val="24"/>
              </w:rPr>
            </w:pPr>
            <w:r>
              <w:rPr>
                <w:rFonts w:ascii="Arial" w:hAnsi="Arial" w:cs="Arial"/>
                <w:sz w:val="24"/>
              </w:rPr>
              <w:t>投标文件格式及提交资料要求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2"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营业执照</w:t>
            </w:r>
          </w:p>
        </w:tc>
        <w:tc>
          <w:tcPr>
            <w:tcW w:w="3110" w:type="dxa"/>
            <w:vAlign w:val="center"/>
          </w:tcPr>
          <w:p>
            <w:pPr>
              <w:jc w:val="left"/>
              <w:rPr>
                <w:rFonts w:ascii="Arial" w:hAnsi="Arial" w:cs="Arial"/>
                <w:sz w:val="24"/>
                <w:szCs w:val="28"/>
              </w:rPr>
            </w:pPr>
            <w:r>
              <w:rPr>
                <w:rFonts w:ascii="Arial" w:hAnsi="Arial" w:cs="Arial"/>
                <w:sz w:val="24"/>
                <w:szCs w:val="28"/>
              </w:rPr>
              <w:t>合法有效</w:t>
            </w:r>
            <w:r>
              <w:rPr>
                <w:rFonts w:hint="eastAsia" w:ascii="Arial" w:hAnsi="Arial" w:cs="Arial"/>
                <w:sz w:val="24"/>
                <w:szCs w:val="28"/>
              </w:rPr>
              <w:t>并</w:t>
            </w:r>
            <w:r>
              <w:rPr>
                <w:rFonts w:ascii="Arial" w:hAnsi="Arial" w:cs="Arial"/>
                <w:sz w:val="24"/>
                <w:szCs w:val="28"/>
              </w:rPr>
              <w:t>加盖</w:t>
            </w:r>
            <w:r>
              <w:rPr>
                <w:rFonts w:hint="eastAsia" w:ascii="Arial" w:hAnsi="Arial" w:cs="Arial"/>
                <w:sz w:val="24"/>
                <w:szCs w:val="28"/>
              </w:rPr>
              <w:t>供应商</w:t>
            </w:r>
            <w:r>
              <w:rPr>
                <w:rFonts w:ascii="Arial" w:hAnsi="Arial" w:cs="Arial"/>
                <w:sz w:val="24"/>
                <w:szCs w:val="28"/>
              </w:rPr>
              <w:t>公章</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r>
              <w:rPr>
                <w:rFonts w:ascii="Arial" w:hAnsi="Arial" w:cs="Arial"/>
                <w:sz w:val="24"/>
              </w:rPr>
              <w:t>提供有效的营业执照复印件或影印件，应完整的体现出营业执照的全部内容。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hint="eastAsia" w:ascii="Arial" w:hAnsi="Arial" w:cs="Arial"/>
                <w:sz w:val="24"/>
                <w:szCs w:val="28"/>
              </w:rPr>
              <w:t>供应商资格</w:t>
            </w:r>
          </w:p>
        </w:tc>
        <w:tc>
          <w:tcPr>
            <w:tcW w:w="3110" w:type="dxa"/>
            <w:vAlign w:val="center"/>
          </w:tcPr>
          <w:p>
            <w:pPr>
              <w:jc w:val="left"/>
              <w:rPr>
                <w:rFonts w:ascii="Arial" w:hAnsi="Arial" w:cs="Arial"/>
                <w:sz w:val="24"/>
                <w:szCs w:val="28"/>
              </w:rPr>
            </w:pPr>
            <w:r>
              <w:rPr>
                <w:rFonts w:hint="eastAsia" w:ascii="Arial" w:hAnsi="Arial" w:cs="Arial"/>
                <w:sz w:val="24"/>
                <w:szCs w:val="28"/>
              </w:rPr>
              <w:t>符合招标公告中要求</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hint="eastAsia" w:ascii="Arial" w:hAnsi="Arial" w:cs="Arial"/>
                <w:sz w:val="24"/>
                <w:szCs w:val="28"/>
              </w:rPr>
              <w:t>开标一览表</w:t>
            </w:r>
          </w:p>
        </w:tc>
        <w:tc>
          <w:tcPr>
            <w:tcW w:w="3110" w:type="dxa"/>
            <w:vAlign w:val="center"/>
          </w:tcPr>
          <w:p>
            <w:pPr>
              <w:jc w:val="left"/>
              <w:rPr>
                <w:rFonts w:ascii="Arial" w:hAnsi="Arial" w:cs="Arial"/>
                <w:sz w:val="24"/>
                <w:szCs w:val="28"/>
              </w:rPr>
            </w:pPr>
            <w:r>
              <w:rPr>
                <w:rFonts w:ascii="Arial" w:hAnsi="Arial" w:cs="Arial"/>
                <w:sz w:val="24"/>
                <w:szCs w:val="28"/>
              </w:rPr>
              <w:t>格式、填写要求符合招标文件规定并加盖</w:t>
            </w:r>
            <w:r>
              <w:rPr>
                <w:rFonts w:hint="eastAsia" w:ascii="Arial" w:hAnsi="Arial" w:cs="Arial"/>
                <w:sz w:val="24"/>
                <w:szCs w:val="28"/>
              </w:rPr>
              <w:t>供应商</w:t>
            </w:r>
            <w:r>
              <w:rPr>
                <w:rFonts w:ascii="Arial" w:hAnsi="Arial" w:cs="Arial"/>
                <w:sz w:val="24"/>
                <w:szCs w:val="28"/>
              </w:rPr>
              <w:t>公章</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r>
              <w:rPr>
                <w:rFonts w:ascii="Arial" w:hAnsi="Arial" w:cs="Arial"/>
                <w:sz w:val="24"/>
              </w:rPr>
              <w:t>第七章</w:t>
            </w:r>
          </w:p>
          <w:p>
            <w:pPr>
              <w:adjustRightInd w:val="0"/>
              <w:snapToGrid w:val="0"/>
              <w:jc w:val="center"/>
              <w:rPr>
                <w:rFonts w:ascii="Arial" w:hAnsi="Arial" w:cs="Arial"/>
                <w:sz w:val="24"/>
              </w:rPr>
            </w:pPr>
            <w:r>
              <w:rPr>
                <w:rFonts w:ascii="Arial" w:hAnsi="Arial" w:cs="Arial"/>
                <w:sz w:val="24"/>
              </w:rPr>
              <w:t>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投标函</w:t>
            </w:r>
          </w:p>
        </w:tc>
        <w:tc>
          <w:tcPr>
            <w:tcW w:w="3110" w:type="dxa"/>
            <w:vAlign w:val="center"/>
          </w:tcPr>
          <w:p>
            <w:pPr>
              <w:jc w:val="left"/>
              <w:rPr>
                <w:rFonts w:ascii="Arial" w:hAnsi="Arial" w:cs="Arial"/>
                <w:sz w:val="24"/>
                <w:szCs w:val="28"/>
              </w:rPr>
            </w:pPr>
            <w:r>
              <w:rPr>
                <w:rFonts w:ascii="Arial" w:hAnsi="Arial" w:cs="Arial"/>
                <w:sz w:val="24"/>
                <w:szCs w:val="28"/>
              </w:rPr>
              <w:t>格式、填写要求符合招标文件规定并加盖</w:t>
            </w:r>
            <w:r>
              <w:rPr>
                <w:rFonts w:hint="eastAsia" w:ascii="Arial" w:hAnsi="Arial" w:cs="Arial"/>
                <w:sz w:val="24"/>
                <w:szCs w:val="28"/>
              </w:rPr>
              <w:t>供应商</w:t>
            </w:r>
            <w:r>
              <w:rPr>
                <w:rFonts w:ascii="Arial" w:hAnsi="Arial" w:cs="Arial"/>
                <w:sz w:val="24"/>
                <w:szCs w:val="28"/>
              </w:rPr>
              <w:t>公章</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r>
              <w:rPr>
                <w:rFonts w:ascii="Arial" w:hAnsi="Arial" w:cs="Arial"/>
                <w:sz w:val="24"/>
              </w:rPr>
              <w:t>第七章</w:t>
            </w:r>
          </w:p>
          <w:p>
            <w:pPr>
              <w:adjustRightInd w:val="0"/>
              <w:snapToGrid w:val="0"/>
              <w:jc w:val="center"/>
              <w:rPr>
                <w:rFonts w:ascii="Arial" w:hAnsi="Arial" w:cs="Arial"/>
                <w:sz w:val="24"/>
              </w:rPr>
            </w:pPr>
            <w:r>
              <w:rPr>
                <w:rFonts w:ascii="Arial" w:hAnsi="Arial" w:cs="Arial"/>
                <w:sz w:val="24"/>
              </w:rPr>
              <w:t>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3"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无不良信用记录承诺函、无重大违法记录声明函</w:t>
            </w:r>
          </w:p>
        </w:tc>
        <w:tc>
          <w:tcPr>
            <w:tcW w:w="3110" w:type="dxa"/>
            <w:vAlign w:val="center"/>
          </w:tcPr>
          <w:p>
            <w:pPr>
              <w:jc w:val="left"/>
              <w:rPr>
                <w:rFonts w:ascii="Arial" w:hAnsi="Arial" w:cs="Arial"/>
                <w:sz w:val="24"/>
                <w:szCs w:val="28"/>
              </w:rPr>
            </w:pPr>
            <w:r>
              <w:rPr>
                <w:rFonts w:ascii="Arial" w:hAnsi="Arial" w:cs="Arial"/>
                <w:sz w:val="24"/>
                <w:szCs w:val="28"/>
              </w:rPr>
              <w:t>格式、填写要求符合招标文件规定并加盖</w:t>
            </w:r>
            <w:r>
              <w:rPr>
                <w:rFonts w:hint="eastAsia" w:ascii="Arial" w:hAnsi="Arial" w:cs="Arial"/>
                <w:sz w:val="24"/>
                <w:szCs w:val="28"/>
              </w:rPr>
              <w:t>供应商</w:t>
            </w:r>
            <w:r>
              <w:rPr>
                <w:rFonts w:ascii="Arial" w:hAnsi="Arial" w:cs="Arial"/>
                <w:sz w:val="24"/>
                <w:szCs w:val="28"/>
              </w:rPr>
              <w:t>公章</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r>
              <w:rPr>
                <w:rFonts w:ascii="Arial" w:hAnsi="Arial" w:cs="Arial"/>
                <w:sz w:val="24"/>
              </w:rPr>
              <w:t>第七章</w:t>
            </w:r>
          </w:p>
          <w:p>
            <w:pPr>
              <w:adjustRightInd w:val="0"/>
              <w:snapToGrid w:val="0"/>
              <w:jc w:val="center"/>
              <w:rPr>
                <w:rFonts w:ascii="Arial" w:hAnsi="Arial" w:cs="Arial"/>
                <w:sz w:val="24"/>
              </w:rPr>
            </w:pPr>
            <w:r>
              <w:rPr>
                <w:rFonts w:ascii="Arial" w:hAnsi="Arial" w:cs="Arial"/>
                <w:sz w:val="24"/>
              </w:rPr>
              <w:t>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投标授权书</w:t>
            </w:r>
          </w:p>
        </w:tc>
        <w:tc>
          <w:tcPr>
            <w:tcW w:w="3110" w:type="dxa"/>
            <w:vAlign w:val="center"/>
          </w:tcPr>
          <w:p>
            <w:pPr>
              <w:jc w:val="left"/>
              <w:rPr>
                <w:rFonts w:ascii="Arial" w:hAnsi="Arial" w:cs="Arial"/>
                <w:sz w:val="24"/>
                <w:szCs w:val="28"/>
              </w:rPr>
            </w:pPr>
            <w:r>
              <w:rPr>
                <w:rFonts w:ascii="Arial" w:hAnsi="Arial" w:cs="Arial"/>
                <w:sz w:val="24"/>
                <w:szCs w:val="28"/>
              </w:rPr>
              <w:t>格式、填写要求符合招标文件规定并加盖</w:t>
            </w:r>
            <w:r>
              <w:rPr>
                <w:rFonts w:hint="eastAsia" w:ascii="Arial" w:hAnsi="Arial" w:cs="Arial"/>
                <w:sz w:val="24"/>
                <w:szCs w:val="28"/>
              </w:rPr>
              <w:t>供应商</w:t>
            </w:r>
            <w:r>
              <w:rPr>
                <w:rFonts w:ascii="Arial" w:hAnsi="Arial" w:cs="Arial"/>
                <w:sz w:val="24"/>
                <w:szCs w:val="28"/>
              </w:rPr>
              <w:t>公章</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r>
              <w:rPr>
                <w:rFonts w:ascii="Arial" w:hAnsi="Arial" w:cs="Arial"/>
                <w:sz w:val="24"/>
              </w:rPr>
              <w:t>第七章</w:t>
            </w:r>
          </w:p>
          <w:p>
            <w:pPr>
              <w:adjustRightInd w:val="0"/>
              <w:snapToGrid w:val="0"/>
              <w:jc w:val="center"/>
              <w:rPr>
                <w:rFonts w:ascii="Arial" w:hAnsi="Arial" w:cs="Arial"/>
                <w:sz w:val="24"/>
              </w:rPr>
            </w:pPr>
            <w:r>
              <w:rPr>
                <w:rFonts w:ascii="Arial" w:hAnsi="Arial" w:cs="Arial"/>
                <w:sz w:val="24"/>
              </w:rPr>
              <w:t>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9"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hint="eastAsia" w:ascii="Arial" w:hAnsi="Arial" w:cs="Arial"/>
                <w:sz w:val="24"/>
                <w:szCs w:val="28"/>
              </w:rPr>
              <w:t>报名情况</w:t>
            </w:r>
          </w:p>
        </w:tc>
        <w:tc>
          <w:tcPr>
            <w:tcW w:w="3110" w:type="dxa"/>
            <w:vAlign w:val="center"/>
          </w:tcPr>
          <w:p>
            <w:pPr>
              <w:jc w:val="left"/>
              <w:rPr>
                <w:rFonts w:ascii="Arial" w:hAnsi="Arial" w:cs="Arial"/>
                <w:sz w:val="24"/>
                <w:szCs w:val="28"/>
              </w:rPr>
            </w:pPr>
            <w:r>
              <w:rPr>
                <w:rFonts w:hint="eastAsia" w:ascii="Arial" w:hAnsi="Arial" w:cs="Arial"/>
                <w:sz w:val="24"/>
                <w:szCs w:val="28"/>
              </w:rPr>
              <w:t>未在报名截止时间前完成招标文件规定报名手续并缴纳费用的，投标无效</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投标保证金</w:t>
            </w:r>
          </w:p>
        </w:tc>
        <w:tc>
          <w:tcPr>
            <w:tcW w:w="3110" w:type="dxa"/>
            <w:vAlign w:val="center"/>
          </w:tcPr>
          <w:p>
            <w:pPr>
              <w:jc w:val="left"/>
              <w:rPr>
                <w:rFonts w:ascii="Arial" w:hAnsi="Arial" w:cs="Arial"/>
                <w:sz w:val="24"/>
                <w:szCs w:val="28"/>
              </w:rPr>
            </w:pPr>
            <w:r>
              <w:rPr>
                <w:rFonts w:ascii="Arial" w:hAnsi="Arial" w:cs="Arial"/>
                <w:sz w:val="24"/>
                <w:szCs w:val="28"/>
              </w:rPr>
              <w:t>符合招标文件要求</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3"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rPr>
            </w:pPr>
            <w:r>
              <w:rPr>
                <w:rFonts w:ascii="Arial" w:hAnsi="Arial" w:cs="Arial"/>
                <w:sz w:val="24"/>
              </w:rPr>
              <w:t>投标文件规范性</w:t>
            </w:r>
          </w:p>
        </w:tc>
        <w:tc>
          <w:tcPr>
            <w:tcW w:w="3110" w:type="dxa"/>
            <w:vAlign w:val="center"/>
          </w:tcPr>
          <w:p>
            <w:pPr>
              <w:pStyle w:val="140"/>
              <w:pBdr>
                <w:bottom w:val="none" w:color="auto" w:sz="0" w:space="0"/>
              </w:pBdr>
              <w:tabs>
                <w:tab w:val="clear" w:pos="4153"/>
                <w:tab w:val="clear" w:pos="8306"/>
              </w:tabs>
              <w:adjustRightInd/>
              <w:spacing w:line="240" w:lineRule="auto"/>
              <w:jc w:val="left"/>
              <w:textAlignment w:val="auto"/>
              <w:rPr>
                <w:rFonts w:ascii="Arial" w:hAnsi="Arial" w:cs="Arial"/>
                <w:kern w:val="2"/>
              </w:rPr>
            </w:pPr>
            <w:r>
              <w:rPr>
                <w:rFonts w:ascii="Arial" w:hAnsi="Arial" w:cs="Arial"/>
                <w:szCs w:val="28"/>
              </w:rPr>
              <w:t>投标文件数量和密封、签署、盖章符合招标文件要求</w:t>
            </w:r>
            <w:r>
              <w:rPr>
                <w:rFonts w:ascii="Arial" w:hAnsi="Arial" w:cs="Arial"/>
                <w:kern w:val="2"/>
              </w:rPr>
              <w:t>；</w:t>
            </w:r>
            <w:r>
              <w:rPr>
                <w:rFonts w:ascii="Arial" w:hAnsi="Arial" w:cs="Arial"/>
              </w:rPr>
              <w:t>无严重的编排混乱、内容不全或字迹模糊辨认不清情况，投标文件对招标文件的实质性要求和条件作出响应。</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响应情况</w:t>
            </w:r>
          </w:p>
        </w:tc>
        <w:tc>
          <w:tcPr>
            <w:tcW w:w="3110" w:type="dxa"/>
            <w:vAlign w:val="center"/>
          </w:tcPr>
          <w:p>
            <w:pPr>
              <w:jc w:val="left"/>
              <w:rPr>
                <w:rFonts w:ascii="Arial" w:hAnsi="Arial" w:cs="Arial"/>
                <w:sz w:val="24"/>
                <w:szCs w:val="28"/>
              </w:rPr>
            </w:pPr>
            <w:r>
              <w:rPr>
                <w:rFonts w:hint="eastAsia" w:ascii="Arial" w:hAnsi="Arial" w:cs="Arial"/>
                <w:sz w:val="24"/>
                <w:szCs w:val="28"/>
              </w:rPr>
              <w:t>服务</w:t>
            </w:r>
            <w:r>
              <w:rPr>
                <w:rFonts w:ascii="Arial" w:hAnsi="Arial" w:cs="Arial"/>
                <w:sz w:val="24"/>
                <w:szCs w:val="28"/>
              </w:rPr>
              <w:t>期限</w:t>
            </w:r>
            <w:r>
              <w:rPr>
                <w:rFonts w:hint="eastAsia" w:ascii="Arial" w:hAnsi="Arial" w:cs="Arial"/>
                <w:sz w:val="24"/>
                <w:szCs w:val="28"/>
              </w:rPr>
              <w:t>响应</w:t>
            </w:r>
            <w:r>
              <w:rPr>
                <w:rFonts w:ascii="Arial" w:hAnsi="Arial" w:cs="Arial"/>
                <w:sz w:val="24"/>
                <w:szCs w:val="28"/>
              </w:rPr>
              <w:t>等。</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5" w:hRule="atLeast"/>
          <w:jc w:val="center"/>
        </w:trPr>
        <w:tc>
          <w:tcPr>
            <w:tcW w:w="720" w:type="dxa"/>
            <w:vAlign w:val="center"/>
          </w:tcPr>
          <w:p>
            <w:pPr>
              <w:numPr>
                <w:ilvl w:val="0"/>
                <w:numId w:val="2"/>
              </w:numPr>
              <w:adjustRightInd w:val="0"/>
              <w:snapToGrid w:val="0"/>
              <w:ind w:left="0" w:firstLine="0"/>
              <w:jc w:val="center"/>
              <w:rPr>
                <w:rFonts w:ascii="Arial" w:hAnsi="Arial" w:cs="Arial"/>
                <w:sz w:val="24"/>
              </w:rPr>
            </w:pPr>
          </w:p>
        </w:tc>
        <w:tc>
          <w:tcPr>
            <w:tcW w:w="1980" w:type="dxa"/>
            <w:vAlign w:val="center"/>
          </w:tcPr>
          <w:p>
            <w:pPr>
              <w:jc w:val="center"/>
              <w:rPr>
                <w:rFonts w:ascii="Arial" w:hAnsi="Arial" w:cs="Arial"/>
                <w:sz w:val="24"/>
                <w:szCs w:val="28"/>
              </w:rPr>
            </w:pPr>
            <w:r>
              <w:rPr>
                <w:rFonts w:ascii="Arial" w:hAnsi="Arial" w:cs="Arial"/>
                <w:sz w:val="24"/>
                <w:szCs w:val="28"/>
              </w:rPr>
              <w:t>其他要求</w:t>
            </w:r>
          </w:p>
        </w:tc>
        <w:tc>
          <w:tcPr>
            <w:tcW w:w="3110" w:type="dxa"/>
            <w:vAlign w:val="center"/>
          </w:tcPr>
          <w:p>
            <w:pPr>
              <w:jc w:val="left"/>
              <w:rPr>
                <w:rFonts w:ascii="Arial" w:hAnsi="Arial" w:cs="Arial"/>
                <w:sz w:val="24"/>
                <w:szCs w:val="28"/>
              </w:rPr>
            </w:pPr>
            <w:r>
              <w:rPr>
                <w:rFonts w:ascii="Arial" w:hAnsi="Arial" w:cs="Arial"/>
                <w:sz w:val="24"/>
                <w:szCs w:val="28"/>
              </w:rPr>
              <w:t>法律、行政法规规定的其他条件或招标公告、招标文件列明的其他要求。</w:t>
            </w:r>
          </w:p>
        </w:tc>
        <w:tc>
          <w:tcPr>
            <w:tcW w:w="983" w:type="dxa"/>
            <w:vAlign w:val="center"/>
          </w:tcPr>
          <w:p>
            <w:pPr>
              <w:adjustRightInd w:val="0"/>
              <w:snapToGrid w:val="0"/>
              <w:jc w:val="center"/>
              <w:rPr>
                <w:rFonts w:ascii="Arial" w:hAnsi="Arial" w:cs="Arial"/>
                <w:sz w:val="24"/>
              </w:rPr>
            </w:pPr>
          </w:p>
        </w:tc>
        <w:tc>
          <w:tcPr>
            <w:tcW w:w="2368" w:type="dxa"/>
            <w:vAlign w:val="center"/>
          </w:tcPr>
          <w:p>
            <w:pPr>
              <w:adjustRightInd w:val="0"/>
              <w:snapToGrid w:val="0"/>
              <w:jc w:val="cente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9161" w:type="dxa"/>
            <w:gridSpan w:val="5"/>
            <w:vAlign w:val="center"/>
          </w:tcPr>
          <w:p>
            <w:pPr>
              <w:adjustRightInd w:val="0"/>
              <w:snapToGrid w:val="0"/>
              <w:rPr>
                <w:rFonts w:ascii="Arial" w:hAnsi="Arial" w:cs="Arial"/>
                <w:sz w:val="24"/>
              </w:rPr>
            </w:pPr>
            <w:r>
              <w:rPr>
                <w:rFonts w:ascii="Arial" w:hAnsi="Arial" w:cs="Arial"/>
                <w:sz w:val="24"/>
              </w:rPr>
              <w:t>初审指标通过标准：</w:t>
            </w:r>
          </w:p>
          <w:p>
            <w:pPr>
              <w:adjustRightInd w:val="0"/>
              <w:snapToGrid w:val="0"/>
              <w:rPr>
                <w:rFonts w:ascii="Arial" w:hAnsi="Arial" w:cs="Arial"/>
                <w:sz w:val="24"/>
              </w:rPr>
            </w:pPr>
            <w:r>
              <w:rPr>
                <w:rFonts w:hint="eastAsia" w:ascii="Arial" w:hAnsi="Arial" w:cs="Arial"/>
                <w:sz w:val="24"/>
              </w:rPr>
              <w:t>供应商</w:t>
            </w:r>
            <w:r>
              <w:rPr>
                <w:rFonts w:ascii="Arial" w:hAnsi="Arial" w:cs="Arial"/>
                <w:sz w:val="24"/>
              </w:rPr>
              <w:t>必须通过上述全部指标。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9161" w:type="dxa"/>
            <w:gridSpan w:val="5"/>
            <w:vAlign w:val="center"/>
          </w:tcPr>
          <w:p>
            <w:pPr>
              <w:adjustRightInd w:val="0"/>
              <w:snapToGrid w:val="0"/>
              <w:rPr>
                <w:rFonts w:ascii="Arial" w:hAnsi="Arial" w:cs="Arial"/>
                <w:sz w:val="24"/>
              </w:rPr>
            </w:pPr>
            <w:r>
              <w:rPr>
                <w:rFonts w:ascii="Arial" w:hAnsi="Arial" w:cs="Arial"/>
                <w:sz w:val="24"/>
              </w:rPr>
              <w:t>评委签字：</w:t>
            </w:r>
          </w:p>
          <w:p>
            <w:pPr>
              <w:adjustRightInd w:val="0"/>
              <w:snapToGrid w:val="0"/>
              <w:rPr>
                <w:rFonts w:ascii="Arial" w:hAnsi="Arial" w:cs="Arial"/>
                <w:sz w:val="24"/>
              </w:rPr>
            </w:pPr>
            <w:r>
              <w:rPr>
                <w:rFonts w:ascii="Arial" w:hAnsi="Arial" w:cs="Arial"/>
                <w:sz w:val="24"/>
              </w:rPr>
              <w:t>评审时间：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jc w:val="center"/>
        </w:trPr>
        <w:tc>
          <w:tcPr>
            <w:tcW w:w="9161" w:type="dxa"/>
            <w:gridSpan w:val="5"/>
            <w:vAlign w:val="center"/>
          </w:tcPr>
          <w:p>
            <w:pPr>
              <w:pStyle w:val="27"/>
              <w:ind w:firstLine="0"/>
              <w:rPr>
                <w:rFonts w:ascii="Arial" w:hAnsi="Arial" w:eastAsia="宋体" w:cs="Arial"/>
                <w:b/>
                <w:sz w:val="24"/>
              </w:rPr>
            </w:pPr>
            <w:r>
              <w:rPr>
                <w:rFonts w:ascii="Arial" w:hAnsi="Arial" w:eastAsia="宋体" w:cs="Arial"/>
                <w:b/>
                <w:bCs/>
                <w:sz w:val="24"/>
              </w:rPr>
              <w:t>注：无论何种原因，即使</w:t>
            </w:r>
            <w:r>
              <w:rPr>
                <w:rFonts w:hint="eastAsia" w:ascii="Arial" w:hAnsi="Arial" w:eastAsia="宋体" w:cs="Arial"/>
                <w:b/>
                <w:bCs/>
                <w:sz w:val="24"/>
              </w:rPr>
              <w:t>供应商</w:t>
            </w:r>
            <w:r>
              <w:rPr>
                <w:rFonts w:ascii="Arial" w:hAnsi="Arial" w:eastAsia="宋体" w:cs="Arial"/>
                <w:b/>
                <w:bCs/>
                <w:sz w:val="24"/>
              </w:rPr>
              <w:t>开标时携带了证书材料的原件，但在投标文件中未提供与之内容完全一致的复印件或影印件的，评标委员会可以视同其未提供。</w:t>
            </w:r>
          </w:p>
        </w:tc>
      </w:tr>
    </w:tbl>
    <w:p>
      <w:pPr>
        <w:numPr>
          <w:ilvl w:val="0"/>
          <w:numId w:val="3"/>
        </w:numPr>
        <w:spacing w:beforeLines="50" w:line="0" w:lineRule="atLeast"/>
        <w:ind w:firstLine="480" w:firstLineChars="200"/>
        <w:rPr>
          <w:rFonts w:ascii="Arial" w:hAnsi="Arial" w:cs="Arial"/>
          <w:sz w:val="24"/>
        </w:rPr>
      </w:pPr>
      <w:r>
        <w:rPr>
          <w:rFonts w:ascii="Arial" w:hAnsi="Arial" w:cs="Arial"/>
          <w:sz w:val="24"/>
        </w:rPr>
        <w:t>对投标文件进行详审。评标委员会只对通过初审，实质上响应招标文件要求的投标文件按照下述指标表进行详审。</w:t>
      </w:r>
    </w:p>
    <w:p>
      <w:pPr>
        <w:pStyle w:val="27"/>
        <w:spacing w:line="0" w:lineRule="atLeast"/>
        <w:ind w:firstLine="480" w:firstLineChars="200"/>
        <w:rPr>
          <w:rFonts w:ascii="Arial" w:hAnsi="Arial" w:eastAsia="宋体" w:cs="Arial"/>
          <w:sz w:val="24"/>
        </w:rPr>
      </w:pPr>
      <w:r>
        <w:rPr>
          <w:rFonts w:ascii="Arial" w:hAnsi="Arial" w:eastAsia="宋体" w:cs="Arial"/>
          <w:sz w:val="24"/>
        </w:rPr>
        <w:t>本项目具体评分细则如下：</w:t>
      </w:r>
    </w:p>
    <w:tbl>
      <w:tblPr>
        <w:tblStyle w:val="65"/>
        <w:tblW w:w="99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207"/>
        <w:gridCol w:w="6525"/>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1119" w:type="dxa"/>
            <w:vAlign w:val="center"/>
          </w:tcPr>
          <w:p>
            <w:pPr>
              <w:jc w:val="center"/>
              <w:rPr>
                <w:rFonts w:ascii="宋体" w:hAnsi="宋体" w:cs="宋体"/>
                <w:b/>
                <w:bCs/>
                <w:sz w:val="24"/>
                <w:szCs w:val="24"/>
              </w:rPr>
            </w:pPr>
            <w:r>
              <w:rPr>
                <w:rFonts w:hint="eastAsia" w:ascii="宋体" w:hAnsi="宋体" w:cs="宋体"/>
                <w:b/>
                <w:bCs/>
                <w:sz w:val="24"/>
                <w:szCs w:val="24"/>
              </w:rPr>
              <w:t>类别</w:t>
            </w:r>
          </w:p>
        </w:tc>
        <w:tc>
          <w:tcPr>
            <w:tcW w:w="1207" w:type="dxa"/>
            <w:vAlign w:val="center"/>
          </w:tcPr>
          <w:p>
            <w:pPr>
              <w:jc w:val="center"/>
              <w:rPr>
                <w:rFonts w:ascii="宋体" w:hAnsi="宋体" w:cs="宋体"/>
                <w:b/>
                <w:bCs/>
                <w:sz w:val="24"/>
                <w:szCs w:val="24"/>
              </w:rPr>
            </w:pPr>
            <w:r>
              <w:rPr>
                <w:rFonts w:hint="eastAsia" w:ascii="宋体" w:hAnsi="宋体" w:cs="宋体"/>
                <w:b/>
                <w:bCs/>
                <w:sz w:val="24"/>
                <w:szCs w:val="24"/>
              </w:rPr>
              <w:t>评分内容</w:t>
            </w:r>
          </w:p>
        </w:tc>
        <w:tc>
          <w:tcPr>
            <w:tcW w:w="6525" w:type="dxa"/>
            <w:vAlign w:val="center"/>
          </w:tcPr>
          <w:p>
            <w:pPr>
              <w:jc w:val="center"/>
              <w:rPr>
                <w:rFonts w:ascii="宋体" w:hAnsi="宋体" w:cs="宋体"/>
                <w:sz w:val="24"/>
                <w:szCs w:val="24"/>
              </w:rPr>
            </w:pPr>
            <w:r>
              <w:rPr>
                <w:rFonts w:hint="eastAsia" w:ascii="宋体" w:hAnsi="宋体" w:cs="宋体"/>
                <w:b/>
                <w:bCs/>
                <w:sz w:val="24"/>
                <w:szCs w:val="24"/>
              </w:rPr>
              <w:t>评分标准</w:t>
            </w:r>
          </w:p>
        </w:tc>
        <w:tc>
          <w:tcPr>
            <w:tcW w:w="1063" w:type="dxa"/>
            <w:vAlign w:val="center"/>
          </w:tcPr>
          <w:p>
            <w:pPr>
              <w:jc w:val="center"/>
              <w:rPr>
                <w:rFonts w:ascii="宋体" w:hAnsi="宋体" w:cs="宋体"/>
                <w:b/>
                <w:bCs/>
                <w:sz w:val="24"/>
                <w:szCs w:val="24"/>
              </w:rPr>
            </w:pPr>
            <w:r>
              <w:rPr>
                <w:rFonts w:hint="eastAsia" w:ascii="宋体" w:hAnsi="宋体" w:cs="宋体"/>
                <w:b/>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3" w:hRule="atLeast"/>
          <w:jc w:val="center"/>
        </w:trPr>
        <w:tc>
          <w:tcPr>
            <w:tcW w:w="1119" w:type="dxa"/>
            <w:vMerge w:val="restart"/>
            <w:vAlign w:val="center"/>
          </w:tcPr>
          <w:p>
            <w:pPr>
              <w:jc w:val="center"/>
              <w:rPr>
                <w:rFonts w:ascii="宋体" w:hAnsi="宋体" w:cs="宋体"/>
                <w:sz w:val="24"/>
                <w:szCs w:val="24"/>
              </w:rPr>
            </w:pPr>
            <w:r>
              <w:rPr>
                <w:rFonts w:hint="eastAsia" w:ascii="宋体" w:hAnsi="宋体" w:cs="宋体"/>
                <w:sz w:val="24"/>
                <w:szCs w:val="24"/>
              </w:rPr>
              <w:t>供应商综合实力（满分63分）</w:t>
            </w:r>
          </w:p>
        </w:tc>
        <w:tc>
          <w:tcPr>
            <w:tcW w:w="1207" w:type="dxa"/>
            <w:vAlign w:val="center"/>
          </w:tcPr>
          <w:p>
            <w:pPr>
              <w:jc w:val="center"/>
              <w:rPr>
                <w:rFonts w:ascii="宋体" w:hAnsi="宋体" w:cs="宋体"/>
                <w:sz w:val="24"/>
                <w:szCs w:val="24"/>
              </w:rPr>
            </w:pPr>
            <w:r>
              <w:rPr>
                <w:rFonts w:hint="eastAsia" w:ascii="宋体" w:hAnsi="宋体" w:cs="宋体"/>
                <w:sz w:val="24"/>
                <w:szCs w:val="24"/>
              </w:rPr>
              <w:t>类似业绩</w:t>
            </w:r>
          </w:p>
        </w:tc>
        <w:tc>
          <w:tcPr>
            <w:tcW w:w="6525" w:type="dxa"/>
            <w:vAlign w:val="center"/>
          </w:tcPr>
          <w:p>
            <w:pPr>
              <w:spacing w:beforeLines="50"/>
              <w:ind w:firstLine="482" w:firstLineChars="200"/>
              <w:rPr>
                <w:rFonts w:ascii="宋体" w:hAnsi="宋体" w:cs="宋体"/>
                <w:b/>
                <w:bCs/>
                <w:color w:val="0000FF"/>
                <w:sz w:val="24"/>
                <w:szCs w:val="24"/>
              </w:rPr>
            </w:pPr>
            <w:r>
              <w:rPr>
                <w:rFonts w:hint="eastAsia" w:ascii="宋体" w:hAnsi="宋体" w:cs="宋体"/>
                <w:b/>
                <w:bCs/>
                <w:color w:val="0000FF"/>
                <w:sz w:val="24"/>
                <w:szCs w:val="24"/>
              </w:rPr>
              <w:t>1、投标供应商每提供一个正在经营（截止本次投标截止时间时）的</w:t>
            </w:r>
            <w:r>
              <w:rPr>
                <w:rFonts w:hint="eastAsia" w:ascii="宋体" w:hAnsi="宋体" w:cs="宋体"/>
                <w:b/>
                <w:bCs/>
                <w:color w:val="0000FF"/>
                <w:sz w:val="24"/>
                <w:szCs w:val="24"/>
                <w:highlight w:val="yellow"/>
              </w:rPr>
              <w:t>高校食堂</w:t>
            </w:r>
            <w:r>
              <w:rPr>
                <w:rFonts w:hint="eastAsia" w:ascii="宋体" w:hAnsi="宋体" w:cs="宋体"/>
                <w:b/>
                <w:bCs/>
                <w:color w:val="0000FF"/>
                <w:sz w:val="24"/>
                <w:szCs w:val="24"/>
              </w:rPr>
              <w:t>经营业绩，得1分，本小项最高得10分。</w:t>
            </w:r>
          </w:p>
          <w:p>
            <w:pPr>
              <w:ind w:firstLine="480" w:firstLineChars="200"/>
              <w:rPr>
                <w:rFonts w:ascii="宋体" w:hAnsi="宋体" w:cs="宋体"/>
                <w:sz w:val="24"/>
                <w:szCs w:val="24"/>
              </w:rPr>
            </w:pPr>
            <w:r>
              <w:rPr>
                <w:rFonts w:hint="eastAsia" w:ascii="宋体" w:hAnsi="宋体" w:cs="宋体"/>
                <w:sz w:val="24"/>
                <w:szCs w:val="24"/>
              </w:rPr>
              <w:t>备注：本小项评审，上述业绩的合同签订时间须在2013年1月1日以后，投标时须提供相应的合同及业主评价良好证明复印件或影印件。</w:t>
            </w:r>
          </w:p>
          <w:p>
            <w:pPr>
              <w:spacing w:beforeLines="50"/>
              <w:ind w:firstLine="482" w:firstLineChars="200"/>
              <w:rPr>
                <w:rFonts w:ascii="宋体" w:hAnsi="宋体" w:cs="宋体"/>
                <w:b/>
                <w:bCs/>
                <w:color w:val="0000FF"/>
                <w:sz w:val="24"/>
                <w:szCs w:val="24"/>
              </w:rPr>
            </w:pPr>
            <w:r>
              <w:rPr>
                <w:rFonts w:hint="eastAsia" w:ascii="宋体" w:hAnsi="宋体" w:cs="宋体"/>
                <w:b/>
                <w:bCs/>
                <w:color w:val="0000FF"/>
                <w:sz w:val="24"/>
                <w:szCs w:val="24"/>
              </w:rPr>
              <w:t>2、投标供应商提供正在经营的</w:t>
            </w:r>
            <w:r>
              <w:rPr>
                <w:rFonts w:hint="eastAsia" w:ascii="宋体" w:hAnsi="宋体" w:cs="宋体"/>
                <w:b/>
                <w:bCs/>
                <w:color w:val="0000FF"/>
                <w:sz w:val="24"/>
                <w:szCs w:val="24"/>
                <w:highlight w:val="yellow"/>
              </w:rPr>
              <w:t>高校的单个食堂</w:t>
            </w:r>
            <w:r>
              <w:rPr>
                <w:rFonts w:hint="eastAsia" w:ascii="宋体" w:hAnsi="宋体" w:cs="宋体"/>
                <w:b/>
                <w:bCs/>
                <w:color w:val="0000FF"/>
                <w:sz w:val="24"/>
                <w:szCs w:val="24"/>
              </w:rPr>
              <w:t>的平均月营业额进行评分。（平均月营业额计算范围为2016、2017年度的3-6月和9-12月，共计16个月）：</w:t>
            </w:r>
          </w:p>
          <w:p>
            <w:pPr>
              <w:rPr>
                <w:rFonts w:ascii="宋体" w:hAnsi="宋体" w:cs="宋体"/>
                <w:sz w:val="24"/>
                <w:szCs w:val="24"/>
              </w:rPr>
            </w:pPr>
            <w:r>
              <w:rPr>
                <w:rFonts w:hint="eastAsia" w:ascii="宋体" w:hAnsi="宋体" w:cs="宋体"/>
                <w:sz w:val="24"/>
                <w:szCs w:val="24"/>
              </w:rPr>
              <w:t>（1）平均月营业额高于150（含）万元，得10分；</w:t>
            </w:r>
          </w:p>
          <w:p>
            <w:pPr>
              <w:rPr>
                <w:rFonts w:ascii="宋体" w:hAnsi="宋体" w:cs="宋体"/>
                <w:sz w:val="24"/>
                <w:szCs w:val="24"/>
              </w:rPr>
            </w:pPr>
            <w:r>
              <w:rPr>
                <w:rFonts w:hint="eastAsia" w:ascii="宋体" w:hAnsi="宋体" w:cs="宋体"/>
                <w:sz w:val="24"/>
                <w:szCs w:val="24"/>
              </w:rPr>
              <w:t>（2）平均月营业额130万（含）-150万元，得9分；</w:t>
            </w:r>
          </w:p>
          <w:p>
            <w:pPr>
              <w:rPr>
                <w:rFonts w:ascii="宋体" w:hAnsi="宋体" w:cs="宋体"/>
                <w:sz w:val="24"/>
                <w:szCs w:val="24"/>
              </w:rPr>
            </w:pPr>
            <w:r>
              <w:rPr>
                <w:rFonts w:hint="eastAsia" w:ascii="宋体" w:hAnsi="宋体" w:cs="宋体"/>
                <w:sz w:val="24"/>
                <w:szCs w:val="24"/>
              </w:rPr>
              <w:t>（3）平均月营业额110万（含）-130万元，得8分；</w:t>
            </w:r>
          </w:p>
          <w:p>
            <w:pPr>
              <w:rPr>
                <w:rFonts w:ascii="宋体" w:hAnsi="宋体" w:cs="宋体"/>
                <w:sz w:val="24"/>
                <w:szCs w:val="24"/>
              </w:rPr>
            </w:pPr>
            <w:r>
              <w:rPr>
                <w:rFonts w:hint="eastAsia" w:ascii="宋体" w:hAnsi="宋体" w:cs="宋体"/>
                <w:sz w:val="24"/>
                <w:szCs w:val="24"/>
              </w:rPr>
              <w:t>（4）平均月营业额90万（含）-110万元，得7分；</w:t>
            </w:r>
          </w:p>
          <w:p>
            <w:pPr>
              <w:rPr>
                <w:rFonts w:ascii="宋体" w:hAnsi="宋体" w:cs="宋体"/>
                <w:sz w:val="24"/>
                <w:szCs w:val="24"/>
              </w:rPr>
            </w:pPr>
            <w:r>
              <w:rPr>
                <w:rFonts w:hint="eastAsia" w:ascii="宋体" w:hAnsi="宋体" w:cs="宋体"/>
                <w:sz w:val="24"/>
                <w:szCs w:val="24"/>
              </w:rPr>
              <w:t>（5）平均月营业额80万（含）-90万元，得6分；</w:t>
            </w:r>
          </w:p>
          <w:p>
            <w:pPr>
              <w:rPr>
                <w:rFonts w:ascii="宋体" w:hAnsi="宋体" w:cs="宋体"/>
                <w:sz w:val="24"/>
                <w:szCs w:val="24"/>
              </w:rPr>
            </w:pPr>
            <w:r>
              <w:rPr>
                <w:rFonts w:hint="eastAsia" w:ascii="宋体" w:hAnsi="宋体" w:cs="宋体"/>
                <w:sz w:val="24"/>
                <w:szCs w:val="24"/>
              </w:rPr>
              <w:t>（6）平均月营业额低于80万元，不得分。</w:t>
            </w:r>
          </w:p>
          <w:p>
            <w:pPr>
              <w:ind w:firstLine="480" w:firstLineChars="200"/>
              <w:rPr>
                <w:rFonts w:ascii="宋体" w:hAnsi="宋体" w:cs="宋体"/>
                <w:sz w:val="24"/>
                <w:szCs w:val="24"/>
              </w:rPr>
            </w:pPr>
            <w:r>
              <w:rPr>
                <w:rFonts w:hint="eastAsia" w:ascii="宋体" w:hAnsi="宋体" w:cs="宋体"/>
                <w:sz w:val="24"/>
                <w:szCs w:val="24"/>
              </w:rPr>
              <w:t>备注：本小项评审以平均月营业额最高的单个食堂进行计分，最高可得10分。投标时须提供相应的合同及业主盖章的营业额报表复印件或影印件作为证明材料。</w:t>
            </w:r>
          </w:p>
          <w:p>
            <w:pPr>
              <w:spacing w:beforeLines="50"/>
              <w:ind w:firstLine="482" w:firstLineChars="200"/>
              <w:rPr>
                <w:rFonts w:ascii="宋体" w:hAnsi="宋体" w:cs="宋体"/>
                <w:b/>
                <w:bCs/>
                <w:color w:val="0000FF"/>
                <w:sz w:val="24"/>
                <w:szCs w:val="24"/>
              </w:rPr>
            </w:pPr>
            <w:r>
              <w:rPr>
                <w:rFonts w:hint="eastAsia" w:ascii="宋体" w:hAnsi="宋体" w:cs="宋体"/>
                <w:b/>
                <w:bCs/>
                <w:color w:val="0000FF"/>
                <w:sz w:val="24"/>
                <w:szCs w:val="24"/>
              </w:rPr>
              <w:t>3、投标供应商在同一</w:t>
            </w:r>
            <w:r>
              <w:rPr>
                <w:rFonts w:hint="eastAsia" w:ascii="宋体" w:hAnsi="宋体" w:cs="宋体"/>
                <w:b/>
                <w:bCs/>
                <w:color w:val="0000FF"/>
                <w:sz w:val="24"/>
                <w:szCs w:val="24"/>
                <w:highlight w:val="yellow"/>
              </w:rPr>
              <w:t>高校</w:t>
            </w:r>
            <w:r>
              <w:rPr>
                <w:rFonts w:hint="eastAsia" w:ascii="宋体" w:hAnsi="宋体" w:cs="宋体"/>
                <w:b/>
                <w:bCs/>
                <w:color w:val="0000FF"/>
                <w:sz w:val="24"/>
                <w:szCs w:val="24"/>
              </w:rPr>
              <w:t>连续经营期限达3年及以上的得3分；连续经营期限达6年及以上的，得6分；本小项最高6分。</w:t>
            </w:r>
          </w:p>
          <w:p>
            <w:pPr>
              <w:ind w:firstLine="480" w:firstLineChars="200"/>
              <w:rPr>
                <w:rFonts w:ascii="宋体" w:hAnsi="宋体" w:cs="宋体"/>
                <w:sz w:val="24"/>
                <w:szCs w:val="24"/>
              </w:rPr>
            </w:pPr>
            <w:r>
              <w:rPr>
                <w:rFonts w:hint="eastAsia" w:ascii="宋体" w:hAnsi="宋体" w:cs="宋体"/>
                <w:sz w:val="24"/>
                <w:szCs w:val="24"/>
              </w:rPr>
              <w:t>备注：同一项目以最长年限计分，投标时须提供合同及相应的业主评价良好证明材料复印件或影印件。</w:t>
            </w:r>
          </w:p>
        </w:tc>
        <w:tc>
          <w:tcPr>
            <w:tcW w:w="1063" w:type="dxa"/>
            <w:vAlign w:val="center"/>
          </w:tcPr>
          <w:p>
            <w:pPr>
              <w:jc w:val="center"/>
              <w:rPr>
                <w:rFonts w:ascii="宋体" w:hAnsi="宋体" w:cs="宋体"/>
                <w:sz w:val="24"/>
                <w:szCs w:val="24"/>
              </w:rPr>
            </w:pPr>
            <w:r>
              <w:rPr>
                <w:rFonts w:hint="eastAsia" w:ascii="宋体" w:hAnsi="宋体" w:cs="宋体"/>
                <w:sz w:val="24"/>
                <w:szCs w:val="24"/>
              </w:rPr>
              <w:t>0-26分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0"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rPr>
                <w:rFonts w:ascii="宋体" w:hAnsi="宋体" w:cs="宋体"/>
                <w:sz w:val="24"/>
                <w:szCs w:val="24"/>
              </w:rPr>
            </w:pPr>
            <w:r>
              <w:rPr>
                <w:rFonts w:hint="eastAsia" w:ascii="宋体" w:hAnsi="宋体" w:cs="宋体"/>
                <w:sz w:val="24"/>
                <w:szCs w:val="24"/>
              </w:rPr>
              <w:t>A级食堂创建承诺</w:t>
            </w:r>
          </w:p>
        </w:tc>
        <w:tc>
          <w:tcPr>
            <w:tcW w:w="6525" w:type="dxa"/>
            <w:vAlign w:val="center"/>
          </w:tcPr>
          <w:p>
            <w:pPr>
              <w:widowControl/>
              <w:spacing w:afterLines="50"/>
              <w:ind w:firstLine="480" w:firstLineChars="200"/>
              <w:rPr>
                <w:rFonts w:ascii="宋体" w:hAnsi="宋体" w:cs="宋体"/>
                <w:sz w:val="24"/>
                <w:szCs w:val="24"/>
              </w:rPr>
            </w:pPr>
            <w:r>
              <w:rPr>
                <w:rFonts w:hint="eastAsia" w:ascii="宋体" w:hAnsi="宋体" w:cs="宋体"/>
                <w:sz w:val="24"/>
                <w:szCs w:val="24"/>
              </w:rPr>
              <w:t>1、投标供应商承诺在合同签订后1年内取得“餐饮服务食品安全监督量化分级管理”A级的，得8分；</w:t>
            </w:r>
          </w:p>
          <w:p>
            <w:pPr>
              <w:widowControl/>
              <w:spacing w:afterLines="50"/>
              <w:ind w:firstLine="480" w:firstLineChars="200"/>
              <w:rPr>
                <w:rFonts w:ascii="宋体" w:hAnsi="宋体" w:cs="宋体"/>
                <w:sz w:val="24"/>
                <w:szCs w:val="24"/>
              </w:rPr>
            </w:pPr>
            <w:r>
              <w:rPr>
                <w:rFonts w:hint="eastAsia" w:ascii="宋体" w:hAnsi="宋体" w:cs="宋体"/>
                <w:sz w:val="24"/>
                <w:szCs w:val="24"/>
              </w:rPr>
              <w:t>2、投标供应商承诺在合同签订后2年内取得“餐饮服务食品安全监督量化分级管理”A级的，得6分。</w:t>
            </w:r>
          </w:p>
          <w:p>
            <w:pPr>
              <w:widowControl/>
              <w:spacing w:afterLines="50"/>
              <w:ind w:firstLine="480" w:firstLineChars="200"/>
              <w:rPr>
                <w:rFonts w:ascii="宋体" w:hAnsi="宋体" w:cs="宋体"/>
                <w:sz w:val="24"/>
                <w:szCs w:val="24"/>
              </w:rPr>
            </w:pPr>
            <w:r>
              <w:rPr>
                <w:rFonts w:hint="eastAsia" w:ascii="宋体" w:hAnsi="宋体" w:cs="宋体"/>
                <w:sz w:val="24"/>
                <w:szCs w:val="24"/>
              </w:rPr>
              <w:t>3、投标供应商承诺在合同签订后3年内取得“餐饮服务食品安全监督量化分级管理”A级的，得4分。</w:t>
            </w:r>
          </w:p>
          <w:p>
            <w:pPr>
              <w:widowControl/>
              <w:spacing w:afterLines="50"/>
              <w:ind w:firstLine="480" w:firstLineChars="200"/>
              <w:rPr>
                <w:rFonts w:ascii="宋体" w:hAnsi="宋体" w:cs="宋体"/>
                <w:sz w:val="24"/>
                <w:szCs w:val="24"/>
              </w:rPr>
            </w:pPr>
            <w:r>
              <w:rPr>
                <w:rFonts w:hint="eastAsia" w:ascii="宋体" w:hAnsi="宋体" w:cs="宋体"/>
                <w:sz w:val="24"/>
                <w:szCs w:val="24"/>
              </w:rPr>
              <w:t>4、未承诺或承诺获得时间超出合同签订后3年的，本项不得分。</w:t>
            </w:r>
          </w:p>
          <w:p>
            <w:pPr>
              <w:widowControl/>
              <w:spacing w:beforeLines="50"/>
              <w:ind w:firstLine="482" w:firstLineChars="200"/>
              <w:rPr>
                <w:rFonts w:ascii="宋体" w:hAnsi="宋体" w:cs="宋体"/>
                <w:sz w:val="24"/>
                <w:szCs w:val="24"/>
              </w:rPr>
            </w:pPr>
            <w:r>
              <w:rPr>
                <w:rFonts w:hint="eastAsia" w:ascii="宋体" w:hAnsi="宋体" w:cs="宋体"/>
                <w:b/>
                <w:bCs/>
                <w:sz w:val="24"/>
                <w:szCs w:val="24"/>
              </w:rPr>
              <w:t>备注：投标时必须提供书面承诺（格式自拟），中标后上述承诺将列入合同条款，如未能在承诺的时间内取得A级食堂称号，采购人将根据本招标文件及合同约定对中标供应商进行处罚。</w:t>
            </w:r>
          </w:p>
        </w:tc>
        <w:tc>
          <w:tcPr>
            <w:tcW w:w="1063" w:type="dxa"/>
            <w:vAlign w:val="center"/>
          </w:tcPr>
          <w:p>
            <w:pPr>
              <w:jc w:val="center"/>
              <w:rPr>
                <w:rFonts w:ascii="宋体" w:hAnsi="宋体" w:cs="宋体"/>
                <w:sz w:val="24"/>
                <w:szCs w:val="24"/>
              </w:rPr>
            </w:pPr>
            <w:r>
              <w:rPr>
                <w:rFonts w:hint="eastAsia" w:ascii="宋体" w:hAnsi="宋体" w:cs="宋体"/>
                <w:sz w:val="24"/>
                <w:szCs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6"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体系认证</w:t>
            </w:r>
          </w:p>
        </w:tc>
        <w:tc>
          <w:tcPr>
            <w:tcW w:w="6525" w:type="dxa"/>
            <w:vAlign w:val="center"/>
          </w:tcPr>
          <w:p>
            <w:pPr>
              <w:widowControl/>
              <w:ind w:firstLine="480" w:firstLineChars="200"/>
              <w:rPr>
                <w:rFonts w:ascii="宋体" w:hAnsi="宋体" w:cs="宋体"/>
                <w:sz w:val="24"/>
                <w:szCs w:val="24"/>
              </w:rPr>
            </w:pPr>
            <w:r>
              <w:rPr>
                <w:rFonts w:hint="eastAsia" w:ascii="宋体" w:hAnsi="宋体" w:cs="宋体"/>
                <w:sz w:val="24"/>
                <w:szCs w:val="24"/>
              </w:rPr>
              <w:t>1、投标供应商具有有效期内的ISO9001质量管理体系认证证书，得1分；</w:t>
            </w:r>
          </w:p>
          <w:p>
            <w:pPr>
              <w:widowControl/>
              <w:ind w:firstLine="480" w:firstLineChars="200"/>
              <w:rPr>
                <w:rFonts w:ascii="宋体" w:hAnsi="宋体" w:cs="宋体"/>
                <w:sz w:val="24"/>
                <w:szCs w:val="24"/>
              </w:rPr>
            </w:pPr>
            <w:r>
              <w:rPr>
                <w:rFonts w:hint="eastAsia" w:ascii="宋体" w:hAnsi="宋体" w:cs="宋体"/>
                <w:sz w:val="24"/>
                <w:szCs w:val="24"/>
              </w:rPr>
              <w:t>2、投标供应商具有有效期内的ISO14001环境管理体系认证证书的，得1分；</w:t>
            </w:r>
          </w:p>
          <w:p>
            <w:pPr>
              <w:widowControl/>
              <w:ind w:firstLine="480" w:firstLineChars="200"/>
              <w:rPr>
                <w:rFonts w:ascii="宋体" w:hAnsi="宋体" w:cs="宋体"/>
                <w:sz w:val="24"/>
                <w:szCs w:val="24"/>
              </w:rPr>
            </w:pPr>
            <w:r>
              <w:rPr>
                <w:rFonts w:hint="eastAsia" w:ascii="宋体" w:hAnsi="宋体" w:cs="宋体"/>
                <w:sz w:val="24"/>
                <w:szCs w:val="24"/>
              </w:rPr>
              <w:t>3、投标供应商具有有效期内的OHSAS18001职业健康安全管理体系认证证书的，得1分；</w:t>
            </w:r>
          </w:p>
          <w:p>
            <w:pPr>
              <w:widowControl/>
              <w:ind w:firstLine="480" w:firstLineChars="200"/>
              <w:rPr>
                <w:rFonts w:ascii="宋体" w:hAnsi="宋体" w:cs="宋体"/>
                <w:sz w:val="24"/>
                <w:szCs w:val="24"/>
              </w:rPr>
            </w:pPr>
            <w:r>
              <w:rPr>
                <w:rFonts w:hint="eastAsia" w:ascii="宋体" w:hAnsi="宋体" w:cs="宋体"/>
                <w:sz w:val="24"/>
                <w:szCs w:val="24"/>
              </w:rPr>
              <w:t>4、投标供应商具有有效期内的ISO22000食品安全管理体系认证证书的，得1分；</w:t>
            </w:r>
          </w:p>
          <w:p>
            <w:pPr>
              <w:widowControl/>
              <w:ind w:firstLine="480" w:firstLineChars="200"/>
              <w:rPr>
                <w:rFonts w:ascii="宋体" w:hAnsi="宋体" w:cs="宋体"/>
                <w:sz w:val="24"/>
                <w:szCs w:val="24"/>
              </w:rPr>
            </w:pPr>
            <w:r>
              <w:rPr>
                <w:rFonts w:hint="eastAsia" w:ascii="宋体" w:hAnsi="宋体" w:cs="宋体"/>
                <w:sz w:val="24"/>
                <w:szCs w:val="24"/>
              </w:rPr>
              <w:t>5、投标供应商具有有效期内的HACCP食品安全管理体系认证证书的，得1分。</w:t>
            </w:r>
          </w:p>
          <w:p>
            <w:pPr>
              <w:widowControl/>
              <w:spacing w:beforeLines="50"/>
              <w:ind w:firstLine="482" w:firstLineChars="200"/>
              <w:rPr>
                <w:rFonts w:ascii="宋体" w:hAnsi="宋体" w:cs="宋体"/>
                <w:sz w:val="24"/>
                <w:szCs w:val="24"/>
              </w:rPr>
            </w:pPr>
            <w:r>
              <w:rPr>
                <w:rFonts w:hint="eastAsia" w:ascii="宋体" w:hAnsi="宋体" w:cs="宋体"/>
                <w:b/>
                <w:bCs/>
                <w:sz w:val="24"/>
                <w:szCs w:val="24"/>
              </w:rPr>
              <w:t>备注：投标时须提供上述认证证书的影印件及在“中国国家认证认可监督管理委员会”官网上的查询截图，否则不得分。</w:t>
            </w:r>
          </w:p>
        </w:tc>
        <w:tc>
          <w:tcPr>
            <w:tcW w:w="1063" w:type="dxa"/>
            <w:vAlign w:val="center"/>
          </w:tcPr>
          <w:p>
            <w:pPr>
              <w:jc w:val="center"/>
              <w:rPr>
                <w:rFonts w:ascii="宋体" w:hAnsi="宋体" w:cs="宋体"/>
                <w:sz w:val="24"/>
                <w:szCs w:val="24"/>
              </w:rPr>
            </w:pPr>
            <w:r>
              <w:rPr>
                <w:rFonts w:hint="eastAsia" w:ascii="宋体" w:hAnsi="宋体" w:cs="宋体"/>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4"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获奖情况</w:t>
            </w:r>
          </w:p>
        </w:tc>
        <w:tc>
          <w:tcPr>
            <w:tcW w:w="6525" w:type="dxa"/>
            <w:vAlign w:val="center"/>
          </w:tcPr>
          <w:p>
            <w:pPr>
              <w:widowControl/>
              <w:ind w:firstLine="480" w:firstLineChars="200"/>
              <w:rPr>
                <w:rFonts w:ascii="宋体" w:hAnsi="宋体" w:cs="宋体"/>
                <w:sz w:val="24"/>
                <w:szCs w:val="24"/>
              </w:rPr>
            </w:pPr>
            <w:r>
              <w:rPr>
                <w:rFonts w:hint="eastAsia" w:ascii="宋体" w:hAnsi="宋体" w:cs="宋体"/>
                <w:sz w:val="24"/>
                <w:szCs w:val="24"/>
              </w:rPr>
              <w:t>1、自2015年1月1日至今，投标供应商或其承包的食堂被市级及以上的食品药品监督管理部门或卫生行政部门或教育主管部门授予“A级单位”或“A级食堂”或“示范食堂”或“餐饮服务食品安全示范单位”等类似称号的，</w:t>
            </w:r>
            <w:r>
              <w:rPr>
                <w:rFonts w:hint="eastAsia" w:ascii="宋体" w:hAnsi="宋体" w:cs="宋体"/>
                <w:color w:val="0D0DF1"/>
                <w:sz w:val="24"/>
                <w:szCs w:val="24"/>
              </w:rPr>
              <w:t>每提供一项得1分，本小项最高4分。</w:t>
            </w:r>
          </w:p>
          <w:p>
            <w:pPr>
              <w:widowControl/>
              <w:spacing w:beforeLines="50"/>
              <w:ind w:firstLine="480" w:firstLineChars="200"/>
              <w:rPr>
                <w:rFonts w:ascii="宋体" w:hAnsi="宋体" w:cs="宋体"/>
                <w:color w:val="FF0000"/>
                <w:sz w:val="24"/>
                <w:szCs w:val="24"/>
              </w:rPr>
            </w:pPr>
            <w:r>
              <w:rPr>
                <w:rFonts w:hint="eastAsia" w:ascii="宋体" w:hAnsi="宋体" w:cs="宋体"/>
                <w:sz w:val="24"/>
                <w:szCs w:val="24"/>
              </w:rPr>
              <w:t>2、自2015年1月1日至今，投标供应商获得中国烹饪协会或中国饭店协会表彰的，</w:t>
            </w:r>
            <w:r>
              <w:rPr>
                <w:rFonts w:hint="eastAsia" w:ascii="宋体" w:hAnsi="宋体" w:cs="宋体"/>
                <w:color w:val="0D0DF1"/>
                <w:sz w:val="24"/>
                <w:szCs w:val="24"/>
              </w:rPr>
              <w:t>每提供一项得1分，本小项最高3分。</w:t>
            </w:r>
          </w:p>
          <w:p>
            <w:pPr>
              <w:widowControl/>
              <w:spacing w:beforeLines="50"/>
              <w:ind w:firstLine="482" w:firstLineChars="200"/>
              <w:rPr>
                <w:rFonts w:ascii="宋体" w:hAnsi="宋体" w:cs="宋体"/>
                <w:sz w:val="24"/>
                <w:szCs w:val="24"/>
              </w:rPr>
            </w:pPr>
            <w:r>
              <w:rPr>
                <w:rFonts w:hint="eastAsia" w:ascii="宋体" w:hAnsi="宋体" w:cs="宋体"/>
                <w:b/>
                <w:bCs/>
                <w:sz w:val="24"/>
                <w:szCs w:val="24"/>
              </w:rPr>
              <w:t>备注：投标文件中须提供相关获奖证书（或铭牌）的复印件或影印件，获奖时间以证书或铭牌落款时间为准。如证书或铭牌上无法反映出获奖单位的名称，则须相应的颁奖单位或业主出具书面材料证明，证明此奖项为投标供应商或其经营的食堂获得。以上材料必须提供齐全，未提供或者提供不全的不得分）</w:t>
            </w:r>
          </w:p>
        </w:tc>
        <w:tc>
          <w:tcPr>
            <w:tcW w:w="1063" w:type="dxa"/>
            <w:vAlign w:val="center"/>
          </w:tcPr>
          <w:p>
            <w:pPr>
              <w:jc w:val="center"/>
              <w:rPr>
                <w:rFonts w:ascii="宋体" w:hAnsi="宋体" w:cs="宋体"/>
                <w:sz w:val="24"/>
                <w:szCs w:val="24"/>
              </w:rPr>
            </w:pPr>
            <w:r>
              <w:rPr>
                <w:rFonts w:hint="eastAsia" w:ascii="宋体" w:hAnsi="宋体" w:cs="宋体"/>
                <w:sz w:val="24"/>
                <w:szCs w:val="24"/>
              </w:rPr>
              <w:t>0-7分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人员配备</w:t>
            </w:r>
          </w:p>
        </w:tc>
        <w:tc>
          <w:tcPr>
            <w:tcW w:w="6525" w:type="dxa"/>
            <w:vAlign w:val="center"/>
          </w:tcPr>
          <w:p>
            <w:pPr>
              <w:widowControl/>
              <w:spacing w:beforeLines="50" w:afterLines="50"/>
              <w:ind w:firstLine="480" w:firstLineChars="200"/>
              <w:rPr>
                <w:rFonts w:ascii="宋体" w:hAnsi="宋体" w:cs="宋体"/>
                <w:sz w:val="24"/>
                <w:szCs w:val="24"/>
              </w:rPr>
            </w:pPr>
            <w:r>
              <w:rPr>
                <w:rFonts w:hint="eastAsia" w:ascii="宋体" w:hAnsi="宋体" w:cs="宋体"/>
                <w:sz w:val="24"/>
                <w:szCs w:val="24"/>
              </w:rPr>
              <w:t>1、食堂人员安排合理得2分，不合理则不得分。</w:t>
            </w:r>
          </w:p>
          <w:p>
            <w:pPr>
              <w:widowControl/>
              <w:spacing w:afterLines="50"/>
              <w:ind w:firstLine="480" w:firstLineChars="200"/>
              <w:rPr>
                <w:rFonts w:ascii="宋体" w:hAnsi="宋体" w:cs="宋体"/>
                <w:sz w:val="24"/>
                <w:szCs w:val="24"/>
              </w:rPr>
            </w:pPr>
            <w:r>
              <w:rPr>
                <w:rFonts w:hint="eastAsia" w:ascii="宋体" w:hAnsi="宋体" w:cs="宋体"/>
                <w:sz w:val="24"/>
                <w:szCs w:val="24"/>
              </w:rPr>
              <w:t>2、拟派项目经理曾担任高校食堂经理（负责人）工作且连续3年及以上的，得3分；少于3年则不得分。（投标时须提供投标供应商为其缴纳的连续社保证明复印件，以及所服务的高校提供的连续工作经历证明）。</w:t>
            </w:r>
          </w:p>
          <w:p>
            <w:pPr>
              <w:widowControl/>
              <w:spacing w:afterLines="50"/>
              <w:ind w:firstLine="480" w:firstLineChars="200"/>
              <w:rPr>
                <w:rFonts w:ascii="宋体" w:hAnsi="宋体" w:cs="宋体"/>
                <w:sz w:val="24"/>
                <w:szCs w:val="24"/>
              </w:rPr>
            </w:pPr>
            <w:r>
              <w:rPr>
                <w:rFonts w:hint="eastAsia" w:ascii="宋体" w:hAnsi="宋体" w:cs="宋体"/>
                <w:color w:val="0000FF"/>
                <w:sz w:val="24"/>
                <w:szCs w:val="24"/>
              </w:rPr>
              <w:t>3、拟派项目经理具有专科学历或高级中式烹调师资格的，得1分，具有本科学历或烹饪技师以上资格的，得2分。</w:t>
            </w:r>
            <w:r>
              <w:rPr>
                <w:rFonts w:hint="eastAsia" w:ascii="宋体" w:hAnsi="宋体" w:cs="宋体"/>
                <w:sz w:val="24"/>
                <w:szCs w:val="24"/>
              </w:rPr>
              <w:t>（投标时须提供毕业证书或职业资格证书复印或扫描件，高级中式烹调师证书为“三级”，烹饪技师及以上证书为“二级及以上”）。</w:t>
            </w:r>
          </w:p>
          <w:p>
            <w:pPr>
              <w:widowControl/>
              <w:spacing w:afterLines="50"/>
              <w:ind w:firstLine="480" w:firstLineChars="200"/>
              <w:rPr>
                <w:rFonts w:ascii="宋体" w:hAnsi="宋体" w:cs="宋体"/>
                <w:sz w:val="24"/>
                <w:szCs w:val="24"/>
              </w:rPr>
            </w:pPr>
            <w:r>
              <w:rPr>
                <w:rFonts w:hint="eastAsia" w:ascii="宋体" w:hAnsi="宋体" w:cs="宋体"/>
                <w:sz w:val="24"/>
                <w:szCs w:val="24"/>
              </w:rPr>
              <w:t>4、投标供应商拟聘厨师长、主管、仓库管理员等主要管理人员为本单位正式员工的，每提供1人的社保证明得1分，本小项最高得3分。（投标时须提供投标供应商为上述员工所缴纳的2018年1-5月的连续五个月的社保证明材料复印件）</w:t>
            </w:r>
          </w:p>
          <w:p>
            <w:pPr>
              <w:widowControl/>
              <w:spacing w:before="153"/>
              <w:ind w:firstLine="482" w:firstLineChars="200"/>
              <w:rPr>
                <w:rFonts w:ascii="宋体" w:hAnsi="宋体" w:cs="宋体"/>
                <w:sz w:val="24"/>
                <w:szCs w:val="24"/>
              </w:rPr>
            </w:pPr>
            <w:r>
              <w:rPr>
                <w:rFonts w:hint="eastAsia" w:ascii="宋体" w:hAnsi="宋体" w:cs="宋体"/>
                <w:b/>
                <w:bCs/>
                <w:sz w:val="24"/>
                <w:szCs w:val="24"/>
              </w:rPr>
              <w:t>备注：上述社保证明格式参照本招标文件对授权委托人的社保格式要求。如未能提供或社保证明模糊导致无法识别的，则对应项评审不得分。</w:t>
            </w:r>
          </w:p>
        </w:tc>
        <w:tc>
          <w:tcPr>
            <w:tcW w:w="1063" w:type="dxa"/>
            <w:vAlign w:val="center"/>
          </w:tcPr>
          <w:p>
            <w:pPr>
              <w:jc w:val="center"/>
              <w:rPr>
                <w:rFonts w:ascii="宋体" w:hAnsi="宋体" w:cs="宋体"/>
                <w:sz w:val="24"/>
                <w:szCs w:val="24"/>
              </w:rPr>
            </w:pPr>
            <w:r>
              <w:rPr>
                <w:rFonts w:hint="eastAsia" w:ascii="宋体" w:hAnsi="宋体" w:cs="宋体"/>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83" w:hRule="atLeast"/>
          <w:jc w:val="center"/>
        </w:trPr>
        <w:tc>
          <w:tcPr>
            <w:tcW w:w="1119" w:type="dxa"/>
            <w:vMerge w:val="restart"/>
            <w:vAlign w:val="center"/>
          </w:tcPr>
          <w:p>
            <w:pPr>
              <w:jc w:val="center"/>
              <w:rPr>
                <w:rFonts w:ascii="宋体" w:hAnsi="宋体" w:cs="宋体"/>
                <w:b/>
                <w:bCs/>
                <w:sz w:val="24"/>
                <w:szCs w:val="24"/>
              </w:rPr>
            </w:pPr>
            <w:r>
              <w:rPr>
                <w:rFonts w:hint="eastAsia" w:ascii="宋体" w:hAnsi="宋体" w:cs="宋体"/>
                <w:sz w:val="24"/>
                <w:szCs w:val="24"/>
              </w:rPr>
              <w:t>经营方案及承诺（满分37分）</w:t>
            </w:r>
          </w:p>
        </w:tc>
        <w:tc>
          <w:tcPr>
            <w:tcW w:w="1207" w:type="dxa"/>
            <w:vAlign w:val="center"/>
          </w:tcPr>
          <w:p>
            <w:pPr>
              <w:jc w:val="center"/>
              <w:rPr>
                <w:rFonts w:ascii="宋体" w:hAnsi="宋体" w:cs="宋体"/>
                <w:sz w:val="24"/>
                <w:szCs w:val="24"/>
              </w:rPr>
            </w:pPr>
            <w:r>
              <w:rPr>
                <w:rFonts w:hint="eastAsia" w:ascii="宋体" w:hAnsi="宋体" w:cs="宋体"/>
                <w:sz w:val="24"/>
                <w:szCs w:val="24"/>
              </w:rPr>
              <w:t>捐献比例</w:t>
            </w:r>
          </w:p>
        </w:tc>
        <w:tc>
          <w:tcPr>
            <w:tcW w:w="6525" w:type="dxa"/>
            <w:vAlign w:val="center"/>
          </w:tcPr>
          <w:p>
            <w:pPr>
              <w:ind w:firstLine="480" w:firstLineChars="200"/>
              <w:jc w:val="left"/>
              <w:rPr>
                <w:rFonts w:ascii="宋体" w:hAnsi="宋体" w:cs="宋体"/>
                <w:sz w:val="24"/>
                <w:szCs w:val="24"/>
              </w:rPr>
            </w:pPr>
            <w:r>
              <w:rPr>
                <w:rFonts w:hint="eastAsia" w:ascii="宋体" w:hAnsi="宋体" w:cs="宋体"/>
                <w:sz w:val="24"/>
                <w:szCs w:val="24"/>
              </w:rPr>
              <w:t>满足招标文件要求且捐献比例最高（即占营业额百分比最大）得10分，其他投标供应商的捐献比例得分＝（某家捐献比例/最高捐献比例）×10。</w:t>
            </w:r>
          </w:p>
          <w:p>
            <w:pPr>
              <w:ind w:firstLine="480" w:firstLineChars="200"/>
              <w:jc w:val="left"/>
              <w:rPr>
                <w:rFonts w:ascii="宋体" w:hAnsi="宋体" w:cs="宋体"/>
                <w:sz w:val="24"/>
                <w:szCs w:val="24"/>
              </w:rPr>
            </w:pPr>
            <w:r>
              <w:rPr>
                <w:rFonts w:hint="eastAsia" w:ascii="宋体" w:hAnsi="宋体" w:cs="宋体"/>
                <w:sz w:val="24"/>
                <w:szCs w:val="24"/>
              </w:rPr>
              <w:t>备注：</w:t>
            </w:r>
            <w:r>
              <w:rPr>
                <w:rFonts w:hint="eastAsia" w:ascii="宋体" w:hAnsi="宋体" w:cs="宋体"/>
                <w:color w:val="1515C4"/>
                <w:sz w:val="24"/>
                <w:szCs w:val="24"/>
              </w:rPr>
              <w:t>（1）当3%≤捐献比例≤5%时，按上述公式进行计算分数，得分最终保留两位有效小数。（2）如捐献比例低于3%或高于5%，则本项得0分。</w:t>
            </w:r>
          </w:p>
        </w:tc>
        <w:tc>
          <w:tcPr>
            <w:tcW w:w="1063" w:type="dxa"/>
            <w:vAlign w:val="center"/>
          </w:tcPr>
          <w:p>
            <w:pPr>
              <w:jc w:val="center"/>
              <w:rPr>
                <w:rFonts w:ascii="宋体" w:hAnsi="宋体" w:cs="宋体"/>
                <w:sz w:val="24"/>
                <w:szCs w:val="24"/>
              </w:rPr>
            </w:pPr>
            <w:r>
              <w:rPr>
                <w:rFonts w:hint="eastAsia" w:ascii="宋体" w:hAnsi="宋体" w:cs="宋体"/>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1"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总体经营</w:t>
            </w:r>
          </w:p>
          <w:p>
            <w:pPr>
              <w:widowControl/>
              <w:jc w:val="center"/>
              <w:rPr>
                <w:rFonts w:ascii="宋体" w:hAnsi="宋体" w:cs="宋体"/>
                <w:sz w:val="24"/>
                <w:szCs w:val="24"/>
              </w:rPr>
            </w:pPr>
            <w:r>
              <w:rPr>
                <w:rFonts w:hint="eastAsia" w:ascii="宋体" w:hAnsi="宋体" w:cs="宋体"/>
                <w:sz w:val="24"/>
                <w:szCs w:val="24"/>
              </w:rPr>
              <w:t>目标思路</w:t>
            </w:r>
          </w:p>
        </w:tc>
        <w:tc>
          <w:tcPr>
            <w:tcW w:w="6525" w:type="dxa"/>
            <w:vAlign w:val="center"/>
          </w:tcPr>
          <w:p>
            <w:pPr>
              <w:ind w:firstLine="480" w:firstLineChars="200"/>
              <w:jc w:val="left"/>
              <w:rPr>
                <w:rFonts w:ascii="宋体" w:hAnsi="宋体" w:cs="宋体"/>
                <w:sz w:val="24"/>
                <w:szCs w:val="24"/>
              </w:rPr>
            </w:pPr>
            <w:r>
              <w:rPr>
                <w:rFonts w:hint="eastAsia" w:ascii="宋体" w:hAnsi="宋体" w:cs="宋体"/>
                <w:sz w:val="24"/>
                <w:szCs w:val="24"/>
              </w:rPr>
              <w:t>1、了解高校办伙特点，从服务对象实际出发，把社会效益放在第一位，坚持社会效益和经济效益并重，得2分，不符合得0分。</w:t>
            </w:r>
          </w:p>
          <w:p>
            <w:pPr>
              <w:ind w:firstLine="480" w:firstLineChars="200"/>
              <w:jc w:val="left"/>
              <w:rPr>
                <w:rFonts w:ascii="宋体" w:hAnsi="宋体" w:cs="宋体"/>
                <w:sz w:val="24"/>
                <w:szCs w:val="24"/>
              </w:rPr>
            </w:pPr>
            <w:r>
              <w:rPr>
                <w:rFonts w:hint="eastAsia" w:ascii="宋体" w:hAnsi="宋体" w:cs="宋体"/>
                <w:sz w:val="24"/>
                <w:szCs w:val="24"/>
              </w:rPr>
              <w:t>2、办伙思路清晰、特色明显，得2分，不符合得0分</w:t>
            </w:r>
          </w:p>
        </w:tc>
        <w:tc>
          <w:tcPr>
            <w:tcW w:w="1063" w:type="dxa"/>
            <w:vAlign w:val="center"/>
          </w:tcPr>
          <w:p>
            <w:pPr>
              <w:jc w:val="center"/>
              <w:rPr>
                <w:rFonts w:ascii="宋体" w:hAnsi="宋体" w:cs="宋体"/>
                <w:sz w:val="24"/>
                <w:szCs w:val="24"/>
              </w:rPr>
            </w:pPr>
            <w:r>
              <w:rPr>
                <w:rFonts w:hint="eastAsia" w:ascii="宋体" w:hAnsi="宋体" w:cs="宋体"/>
                <w:sz w:val="24"/>
                <w:szCs w:val="24"/>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6"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经营方案</w:t>
            </w:r>
          </w:p>
        </w:tc>
        <w:tc>
          <w:tcPr>
            <w:tcW w:w="6525" w:type="dxa"/>
            <w:vAlign w:val="center"/>
          </w:tcPr>
          <w:p>
            <w:pPr>
              <w:ind w:firstLine="480" w:firstLineChars="200"/>
              <w:jc w:val="left"/>
              <w:rPr>
                <w:rFonts w:ascii="宋体" w:hAnsi="宋体" w:cs="宋体"/>
                <w:sz w:val="24"/>
                <w:szCs w:val="24"/>
              </w:rPr>
            </w:pPr>
            <w:r>
              <w:rPr>
                <w:rFonts w:hint="eastAsia" w:ascii="宋体" w:hAnsi="宋体" w:cs="宋体"/>
                <w:sz w:val="24"/>
                <w:szCs w:val="24"/>
              </w:rPr>
              <w:t>1、供应主辅食品品种丰富得2分，不丰富得0分。</w:t>
            </w:r>
          </w:p>
          <w:p>
            <w:pPr>
              <w:ind w:firstLine="480" w:firstLineChars="200"/>
              <w:jc w:val="left"/>
              <w:rPr>
                <w:rFonts w:ascii="宋体" w:hAnsi="宋体" w:cs="宋体"/>
                <w:sz w:val="24"/>
                <w:szCs w:val="24"/>
              </w:rPr>
            </w:pPr>
            <w:r>
              <w:rPr>
                <w:rFonts w:hint="eastAsia" w:ascii="宋体" w:hAnsi="宋体" w:cs="宋体"/>
                <w:sz w:val="24"/>
                <w:szCs w:val="24"/>
              </w:rPr>
              <w:t>2、食品价格公道，高中低档菜肴比例合适得2分，不合适的得0分。</w:t>
            </w:r>
          </w:p>
          <w:p>
            <w:pPr>
              <w:ind w:firstLine="480" w:firstLineChars="200"/>
              <w:jc w:val="left"/>
              <w:rPr>
                <w:rFonts w:ascii="宋体" w:hAnsi="宋体" w:cs="宋体"/>
                <w:sz w:val="24"/>
                <w:szCs w:val="24"/>
              </w:rPr>
            </w:pPr>
            <w:r>
              <w:rPr>
                <w:rFonts w:hint="eastAsia" w:ascii="宋体" w:hAnsi="宋体" w:cs="宋体"/>
                <w:sz w:val="24"/>
                <w:szCs w:val="24"/>
              </w:rPr>
              <w:t>3、餐饮成本核算科学，毛利润控制符合规定得2分，超出此范围得0分。</w:t>
            </w:r>
          </w:p>
        </w:tc>
        <w:tc>
          <w:tcPr>
            <w:tcW w:w="1063" w:type="dxa"/>
            <w:vAlign w:val="center"/>
          </w:tcPr>
          <w:p>
            <w:pPr>
              <w:jc w:val="center"/>
              <w:rPr>
                <w:rFonts w:ascii="宋体" w:hAnsi="宋体" w:cs="宋体"/>
                <w:sz w:val="24"/>
                <w:szCs w:val="24"/>
              </w:rPr>
            </w:pPr>
            <w:r>
              <w:rPr>
                <w:rFonts w:hint="eastAsia" w:ascii="宋体" w:hAnsi="宋体" w:cs="宋体"/>
                <w:sz w:val="24"/>
                <w:szCs w:val="24"/>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7"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管理制度和措施</w:t>
            </w:r>
          </w:p>
        </w:tc>
        <w:tc>
          <w:tcPr>
            <w:tcW w:w="6525" w:type="dxa"/>
            <w:vAlign w:val="center"/>
          </w:tcPr>
          <w:p>
            <w:pPr>
              <w:ind w:firstLine="480" w:firstLineChars="200"/>
              <w:jc w:val="left"/>
              <w:rPr>
                <w:rFonts w:ascii="宋体" w:hAnsi="宋体" w:cs="宋体"/>
                <w:sz w:val="24"/>
                <w:szCs w:val="24"/>
              </w:rPr>
            </w:pPr>
            <w:r>
              <w:rPr>
                <w:rFonts w:hint="eastAsia" w:ascii="宋体" w:hAnsi="宋体" w:cs="宋体"/>
                <w:sz w:val="24"/>
                <w:szCs w:val="24"/>
              </w:rPr>
              <w:t>1、按《食品安全法》及学校的有关规定制定食堂各项制度，得1分，没有得0分。</w:t>
            </w:r>
          </w:p>
          <w:p>
            <w:pPr>
              <w:ind w:firstLine="480" w:firstLineChars="200"/>
              <w:jc w:val="left"/>
              <w:rPr>
                <w:rFonts w:ascii="宋体" w:hAnsi="宋体" w:cs="宋体"/>
                <w:sz w:val="24"/>
                <w:szCs w:val="24"/>
              </w:rPr>
            </w:pPr>
            <w:r>
              <w:rPr>
                <w:rFonts w:hint="eastAsia" w:ascii="宋体" w:hAnsi="宋体" w:cs="宋体"/>
                <w:sz w:val="24"/>
                <w:szCs w:val="24"/>
              </w:rPr>
              <w:t>2、各项制度具体落实措施及办法，有得1分，没有得0分。</w:t>
            </w:r>
          </w:p>
          <w:p>
            <w:pPr>
              <w:ind w:firstLine="480" w:firstLineChars="200"/>
              <w:jc w:val="left"/>
              <w:rPr>
                <w:rFonts w:ascii="宋体" w:hAnsi="宋体" w:cs="宋体"/>
                <w:sz w:val="24"/>
                <w:szCs w:val="24"/>
              </w:rPr>
            </w:pPr>
            <w:r>
              <w:rPr>
                <w:rFonts w:hint="eastAsia" w:ascii="宋体" w:hAnsi="宋体" w:cs="宋体"/>
                <w:sz w:val="24"/>
                <w:szCs w:val="24"/>
              </w:rPr>
              <w:t>3、采购索证、出入库台账制度，健全得1分，不健全的得0分。</w:t>
            </w:r>
          </w:p>
          <w:p>
            <w:pPr>
              <w:ind w:firstLine="480" w:firstLineChars="200"/>
              <w:jc w:val="left"/>
              <w:rPr>
                <w:rFonts w:ascii="宋体" w:hAnsi="宋体" w:cs="宋体"/>
                <w:sz w:val="24"/>
                <w:szCs w:val="24"/>
              </w:rPr>
            </w:pPr>
            <w:r>
              <w:rPr>
                <w:rFonts w:hint="eastAsia" w:ascii="宋体" w:hAnsi="宋体" w:cs="宋体"/>
                <w:sz w:val="24"/>
                <w:szCs w:val="24"/>
              </w:rPr>
              <w:t>4、食品卫生安全与伙食质量控制制度，健全的得1分，不健全的得0分。</w:t>
            </w:r>
          </w:p>
          <w:p>
            <w:pPr>
              <w:ind w:firstLine="480" w:firstLineChars="200"/>
              <w:jc w:val="left"/>
              <w:rPr>
                <w:rFonts w:ascii="宋体" w:hAnsi="宋体" w:cs="宋体"/>
                <w:sz w:val="24"/>
                <w:szCs w:val="24"/>
              </w:rPr>
            </w:pPr>
            <w:r>
              <w:rPr>
                <w:rFonts w:hint="eastAsia" w:ascii="宋体" w:hAnsi="宋体" w:cs="宋体"/>
                <w:sz w:val="24"/>
                <w:szCs w:val="24"/>
              </w:rPr>
              <w:t>5、食品加工、销售与储存及餐饮具消毒制度，健全的得1分，不健全得0分。</w:t>
            </w:r>
          </w:p>
          <w:p>
            <w:pPr>
              <w:ind w:firstLine="480" w:firstLineChars="200"/>
              <w:jc w:val="left"/>
              <w:rPr>
                <w:rFonts w:ascii="宋体" w:hAnsi="宋体" w:cs="宋体"/>
                <w:sz w:val="24"/>
                <w:szCs w:val="24"/>
              </w:rPr>
            </w:pPr>
            <w:r>
              <w:rPr>
                <w:rFonts w:hint="eastAsia" w:ascii="宋体" w:hAnsi="宋体" w:cs="宋体"/>
                <w:sz w:val="24"/>
                <w:szCs w:val="24"/>
              </w:rPr>
              <w:t>6、员工管理制度，健全得1分，不健全得0分。</w:t>
            </w:r>
          </w:p>
          <w:p>
            <w:pPr>
              <w:ind w:firstLine="480" w:firstLineChars="200"/>
              <w:jc w:val="left"/>
              <w:rPr>
                <w:rFonts w:ascii="宋体" w:hAnsi="宋体" w:cs="宋体"/>
                <w:sz w:val="24"/>
                <w:szCs w:val="24"/>
              </w:rPr>
            </w:pPr>
            <w:r>
              <w:rPr>
                <w:rFonts w:hint="eastAsia" w:ascii="宋体" w:hAnsi="宋体" w:cs="宋体"/>
                <w:sz w:val="24"/>
                <w:szCs w:val="24"/>
              </w:rPr>
              <w:t>7、员工的管理与教育长效化，符合要求的得1分，不合理的得0分。</w:t>
            </w:r>
          </w:p>
        </w:tc>
        <w:tc>
          <w:tcPr>
            <w:tcW w:w="1063" w:type="dxa"/>
            <w:vAlign w:val="center"/>
          </w:tcPr>
          <w:p>
            <w:pPr>
              <w:jc w:val="center"/>
              <w:rPr>
                <w:rFonts w:ascii="宋体" w:hAnsi="宋体" w:cs="宋体"/>
                <w:sz w:val="24"/>
                <w:szCs w:val="24"/>
              </w:rPr>
            </w:pPr>
            <w:r>
              <w:rPr>
                <w:rFonts w:hint="eastAsia" w:ascii="宋体" w:hAnsi="宋体" w:cs="宋体"/>
                <w:sz w:val="24"/>
                <w:szCs w:val="24"/>
              </w:rPr>
              <w:t>0-7分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8"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食品安全</w:t>
            </w:r>
          </w:p>
          <w:p>
            <w:pPr>
              <w:widowControl/>
              <w:jc w:val="center"/>
              <w:rPr>
                <w:rFonts w:ascii="宋体" w:hAnsi="宋体" w:cs="宋体"/>
                <w:sz w:val="24"/>
                <w:szCs w:val="24"/>
              </w:rPr>
            </w:pPr>
            <w:r>
              <w:rPr>
                <w:rFonts w:hint="eastAsia" w:ascii="宋体" w:hAnsi="宋体" w:cs="宋体"/>
                <w:sz w:val="24"/>
                <w:szCs w:val="24"/>
              </w:rPr>
              <w:t>控制</w:t>
            </w:r>
          </w:p>
        </w:tc>
        <w:tc>
          <w:tcPr>
            <w:tcW w:w="6525" w:type="dxa"/>
            <w:vAlign w:val="center"/>
          </w:tcPr>
          <w:p>
            <w:pPr>
              <w:ind w:firstLine="480" w:firstLineChars="200"/>
              <w:jc w:val="left"/>
              <w:rPr>
                <w:rFonts w:ascii="宋体" w:hAnsi="宋体" w:cs="宋体"/>
                <w:sz w:val="24"/>
                <w:szCs w:val="24"/>
              </w:rPr>
            </w:pPr>
            <w:r>
              <w:rPr>
                <w:rFonts w:hint="eastAsia" w:ascii="宋体" w:hAnsi="宋体" w:cs="宋体"/>
                <w:sz w:val="24"/>
                <w:szCs w:val="24"/>
              </w:rPr>
              <w:t>1、采购、储存、加工、销售全过程的规范化管理措施，措施合理的得2分，不合理的得0分。</w:t>
            </w:r>
          </w:p>
          <w:p>
            <w:pPr>
              <w:ind w:firstLine="480" w:firstLineChars="200"/>
              <w:jc w:val="left"/>
              <w:rPr>
                <w:rFonts w:ascii="宋体" w:hAnsi="宋体" w:cs="宋体"/>
                <w:sz w:val="24"/>
                <w:szCs w:val="24"/>
              </w:rPr>
            </w:pPr>
            <w:r>
              <w:rPr>
                <w:rFonts w:hint="eastAsia" w:ascii="宋体" w:hAnsi="宋体" w:cs="宋体"/>
                <w:sz w:val="24"/>
                <w:szCs w:val="24"/>
              </w:rPr>
              <w:t>2、食品卫生安全的预防及自查、自纠措施，有且合理的得2分，不合理得0分。</w:t>
            </w:r>
          </w:p>
          <w:p>
            <w:pPr>
              <w:ind w:firstLine="480" w:firstLineChars="200"/>
              <w:jc w:val="left"/>
              <w:rPr>
                <w:rFonts w:ascii="宋体" w:hAnsi="宋体" w:cs="宋体"/>
                <w:sz w:val="24"/>
                <w:szCs w:val="24"/>
              </w:rPr>
            </w:pPr>
            <w:r>
              <w:rPr>
                <w:rFonts w:hint="eastAsia" w:ascii="宋体" w:hAnsi="宋体" w:cs="宋体"/>
                <w:sz w:val="24"/>
                <w:szCs w:val="24"/>
              </w:rPr>
              <w:t>3、食品卫生知识的宣传教育，有安排且合理的得2分，无或不合理的得0分。</w:t>
            </w:r>
          </w:p>
          <w:p>
            <w:pPr>
              <w:ind w:firstLine="480" w:firstLineChars="200"/>
              <w:jc w:val="left"/>
              <w:rPr>
                <w:rFonts w:ascii="宋体" w:hAnsi="宋体" w:cs="宋体"/>
                <w:sz w:val="24"/>
                <w:szCs w:val="24"/>
              </w:rPr>
            </w:pPr>
            <w:r>
              <w:rPr>
                <w:rFonts w:hint="eastAsia" w:ascii="宋体" w:hAnsi="宋体" w:cs="宋体"/>
                <w:sz w:val="24"/>
                <w:szCs w:val="24"/>
              </w:rPr>
              <w:t>4、有食物中毒应急预案的得2分，没有得0分。</w:t>
            </w:r>
          </w:p>
        </w:tc>
        <w:tc>
          <w:tcPr>
            <w:tcW w:w="1063" w:type="dxa"/>
            <w:vAlign w:val="center"/>
          </w:tcPr>
          <w:p>
            <w:pPr>
              <w:jc w:val="center"/>
              <w:rPr>
                <w:rFonts w:ascii="宋体" w:hAnsi="宋体" w:cs="宋体"/>
                <w:sz w:val="24"/>
                <w:szCs w:val="24"/>
              </w:rPr>
            </w:pPr>
            <w:r>
              <w:rPr>
                <w:rFonts w:hint="eastAsia" w:ascii="宋体" w:hAnsi="宋体" w:cs="宋体"/>
                <w:sz w:val="24"/>
                <w:szCs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6" w:hRule="atLeast"/>
          <w:jc w:val="center"/>
        </w:trPr>
        <w:tc>
          <w:tcPr>
            <w:tcW w:w="1119" w:type="dxa"/>
            <w:vMerge w:val="continue"/>
            <w:vAlign w:val="center"/>
          </w:tcPr>
          <w:p>
            <w:pPr>
              <w:jc w:val="center"/>
              <w:rPr>
                <w:rFonts w:ascii="宋体" w:hAnsi="宋体" w:cs="宋体"/>
                <w:sz w:val="24"/>
                <w:szCs w:val="24"/>
              </w:rPr>
            </w:pPr>
          </w:p>
        </w:tc>
        <w:tc>
          <w:tcPr>
            <w:tcW w:w="1207" w:type="dxa"/>
            <w:vAlign w:val="center"/>
          </w:tcPr>
          <w:p>
            <w:pPr>
              <w:widowControl/>
              <w:jc w:val="center"/>
              <w:rPr>
                <w:rFonts w:ascii="宋体" w:hAnsi="宋体" w:cs="宋体"/>
                <w:sz w:val="24"/>
                <w:szCs w:val="24"/>
              </w:rPr>
            </w:pPr>
            <w:r>
              <w:rPr>
                <w:rFonts w:hint="eastAsia" w:ascii="宋体" w:hAnsi="宋体" w:cs="宋体"/>
                <w:sz w:val="24"/>
                <w:szCs w:val="24"/>
              </w:rPr>
              <w:t>有关承诺</w:t>
            </w:r>
          </w:p>
        </w:tc>
        <w:tc>
          <w:tcPr>
            <w:tcW w:w="6525" w:type="dxa"/>
            <w:vAlign w:val="center"/>
          </w:tcPr>
          <w:p>
            <w:pPr>
              <w:widowControl/>
              <w:ind w:firstLine="480" w:firstLineChars="200"/>
              <w:jc w:val="left"/>
              <w:rPr>
                <w:rFonts w:ascii="宋体" w:hAnsi="宋体" w:cs="宋体"/>
                <w:sz w:val="24"/>
                <w:szCs w:val="24"/>
              </w:rPr>
            </w:pPr>
            <w:r>
              <w:rPr>
                <w:rFonts w:hint="eastAsia" w:ascii="宋体" w:hAnsi="宋体" w:cs="宋体"/>
                <w:sz w:val="24"/>
                <w:szCs w:val="24"/>
              </w:rPr>
              <w:t>1、投标供应商自行拟定书面承诺，主要包括以下方面：①自愿接受校方管理、因自身原因导致不良影响（如出现食物中毒事件等等）自愿进行何种处罚的承诺；②自愿承担因自身原因导致的经济及法律责任；③自愿承担经营风险的承诺；④自愿提供免费汤等优惠措施承诺。</w:t>
            </w:r>
          </w:p>
          <w:p>
            <w:pPr>
              <w:widowControl/>
              <w:ind w:firstLine="480" w:firstLineChars="200"/>
              <w:jc w:val="left"/>
              <w:rPr>
                <w:rFonts w:ascii="宋体" w:hAnsi="宋体" w:cs="宋体"/>
                <w:sz w:val="24"/>
                <w:szCs w:val="24"/>
              </w:rPr>
            </w:pPr>
            <w:r>
              <w:rPr>
                <w:rFonts w:hint="eastAsia" w:ascii="宋体" w:hAnsi="宋体" w:cs="宋体"/>
                <w:sz w:val="24"/>
                <w:szCs w:val="24"/>
              </w:rPr>
              <w:t>备注：评委根据投标供应商作出的书面承诺，有且合理的每项得1分，没有或不合理的不得分，本小项最高得4分。</w:t>
            </w:r>
          </w:p>
          <w:p>
            <w:pPr>
              <w:widowControl/>
              <w:spacing w:beforeLines="50"/>
              <w:ind w:firstLine="480" w:firstLineChars="200"/>
              <w:jc w:val="left"/>
              <w:rPr>
                <w:rFonts w:ascii="宋体" w:hAnsi="宋体" w:cs="宋体"/>
                <w:sz w:val="24"/>
                <w:szCs w:val="24"/>
              </w:rPr>
            </w:pPr>
            <w:r>
              <w:rPr>
                <w:rFonts w:hint="eastAsia" w:ascii="宋体" w:hAnsi="宋体" w:cs="宋体"/>
                <w:color w:val="1515C4"/>
                <w:sz w:val="24"/>
                <w:szCs w:val="24"/>
              </w:rPr>
              <w:t>2、投标供应商自行拟定书面承诺，自愿承诺经营期内针对所经营的食堂进行改造且投入资金不少于人民币30万元。有此项承诺得5分，没有则不得分。</w:t>
            </w:r>
          </w:p>
          <w:p>
            <w:pPr>
              <w:widowControl/>
              <w:ind w:firstLine="480" w:firstLineChars="200"/>
              <w:jc w:val="left"/>
              <w:rPr>
                <w:rFonts w:ascii="宋体" w:hAnsi="宋体" w:cs="宋体"/>
                <w:sz w:val="24"/>
                <w:szCs w:val="24"/>
              </w:rPr>
            </w:pPr>
            <w:r>
              <w:rPr>
                <w:rFonts w:hint="eastAsia" w:ascii="宋体" w:hAnsi="宋体" w:cs="宋体"/>
                <w:color w:val="1515C4"/>
                <w:sz w:val="24"/>
                <w:szCs w:val="24"/>
              </w:rPr>
              <w:t>备注：如中标供应商作出上述承诺，在合同签订时须向采购人提供详细改造方案及预算书，且改造方案总投资须达到人民币30万元以上，否则采购人有权取消其中标资格。</w:t>
            </w:r>
          </w:p>
        </w:tc>
        <w:tc>
          <w:tcPr>
            <w:tcW w:w="1063" w:type="dxa"/>
            <w:vAlign w:val="center"/>
          </w:tcPr>
          <w:p>
            <w:pPr>
              <w:jc w:val="center"/>
              <w:rPr>
                <w:rFonts w:ascii="宋体" w:hAnsi="宋体" w:cs="宋体"/>
                <w:sz w:val="24"/>
                <w:szCs w:val="24"/>
              </w:rPr>
            </w:pPr>
            <w:r>
              <w:rPr>
                <w:rFonts w:hint="eastAsia" w:ascii="宋体" w:hAnsi="宋体" w:cs="宋体"/>
                <w:sz w:val="24"/>
                <w:szCs w:val="24"/>
              </w:rPr>
              <w:t>0-9分</w:t>
            </w:r>
          </w:p>
        </w:tc>
      </w:tr>
    </w:tbl>
    <w:p>
      <w:pPr>
        <w:pStyle w:val="27"/>
        <w:spacing w:line="0" w:lineRule="atLeast"/>
        <w:ind w:right="-11" w:firstLine="495"/>
        <w:rPr>
          <w:rFonts w:ascii="Arial" w:hAnsi="Arial" w:eastAsia="宋体" w:cs="Arial"/>
          <w:sz w:val="24"/>
        </w:rPr>
      </w:pPr>
      <w:r>
        <w:rPr>
          <w:rFonts w:hint="eastAsia" w:ascii="Arial" w:hAnsi="Arial" w:eastAsia="宋体" w:cs="Arial"/>
          <w:sz w:val="24"/>
        </w:rPr>
        <w:t>附则：</w:t>
      </w:r>
    </w:p>
    <w:p>
      <w:pPr>
        <w:pStyle w:val="27"/>
        <w:spacing w:line="0" w:lineRule="atLeast"/>
        <w:ind w:right="-11" w:firstLine="495"/>
        <w:rPr>
          <w:rFonts w:ascii="Arial" w:hAnsi="Arial" w:eastAsia="宋体" w:cs="Arial"/>
          <w:sz w:val="24"/>
        </w:rPr>
      </w:pPr>
      <w:r>
        <w:rPr>
          <w:rFonts w:hint="eastAsia" w:ascii="Arial" w:hAnsi="Arial" w:eastAsia="宋体" w:cs="Arial"/>
          <w:sz w:val="24"/>
        </w:rPr>
        <w:t>（1）评委独立评分，将所有评委的总评分，进行算术平均，得出该供应商的得分（保留两位</w:t>
      </w:r>
      <w:r>
        <w:rPr>
          <w:rFonts w:ascii="Arial" w:hAnsi="Arial" w:eastAsia="宋体" w:cs="Arial"/>
          <w:sz w:val="24"/>
        </w:rPr>
        <w:t>小数</w:t>
      </w:r>
      <w:r>
        <w:rPr>
          <w:rFonts w:hint="eastAsia" w:ascii="Arial" w:hAnsi="Arial" w:eastAsia="宋体" w:cs="Arial"/>
          <w:sz w:val="24"/>
        </w:rPr>
        <w:t>）。</w:t>
      </w:r>
    </w:p>
    <w:p>
      <w:pPr>
        <w:pStyle w:val="27"/>
        <w:spacing w:line="0" w:lineRule="atLeast"/>
        <w:ind w:right="-11" w:firstLine="495"/>
        <w:rPr>
          <w:rFonts w:ascii="Arial" w:hAnsi="Arial" w:eastAsia="宋体" w:cs="Arial"/>
          <w:sz w:val="24"/>
        </w:rPr>
      </w:pPr>
      <w:r>
        <w:rPr>
          <w:rFonts w:ascii="Arial" w:hAnsi="Arial" w:eastAsia="宋体" w:cs="Arial"/>
          <w:sz w:val="24"/>
        </w:rPr>
        <w:t>（</w:t>
      </w:r>
      <w:r>
        <w:rPr>
          <w:rFonts w:hint="eastAsia" w:ascii="Arial" w:hAnsi="Arial" w:eastAsia="宋体" w:cs="Arial"/>
          <w:sz w:val="24"/>
        </w:rPr>
        <w:t>2</w:t>
      </w:r>
      <w:r>
        <w:rPr>
          <w:rFonts w:ascii="Arial" w:hAnsi="Arial" w:eastAsia="宋体" w:cs="Arial"/>
          <w:sz w:val="24"/>
        </w:rPr>
        <w:t>）</w:t>
      </w:r>
      <w:r>
        <w:rPr>
          <w:rFonts w:hint="eastAsia" w:ascii="Arial" w:hAnsi="Arial" w:eastAsia="宋体" w:cs="Arial"/>
          <w:sz w:val="24"/>
        </w:rPr>
        <w:t>对供应商所提供的业绩、获奖、证明材料，若发现有弄虚作假行为，一律取消其中标资格，并上报行政主管部门给予处罚。</w:t>
      </w:r>
    </w:p>
    <w:p>
      <w:pPr>
        <w:pStyle w:val="27"/>
        <w:spacing w:line="0" w:lineRule="atLeast"/>
        <w:ind w:right="-11" w:firstLine="495"/>
        <w:rPr>
          <w:rFonts w:ascii="Arial" w:hAnsi="Arial" w:eastAsia="宋体" w:cs="Arial"/>
          <w:sz w:val="24"/>
        </w:rPr>
      </w:pPr>
      <w:r>
        <w:rPr>
          <w:rFonts w:hint="eastAsia" w:ascii="Arial" w:hAnsi="Arial" w:eastAsia="宋体" w:cs="Arial"/>
          <w:sz w:val="24"/>
        </w:rPr>
        <w:t>（3）投标文件中须附获奖证书、合同及其他证明材料的复印件，获奖时间以获奖证书发证时间为准。</w:t>
      </w:r>
    </w:p>
    <w:p>
      <w:pPr>
        <w:pStyle w:val="27"/>
        <w:spacing w:line="0" w:lineRule="atLeast"/>
        <w:ind w:right="-11" w:firstLine="495"/>
        <w:rPr>
          <w:rFonts w:ascii="Arial" w:hAnsi="Arial" w:eastAsia="宋体" w:cs="Arial"/>
          <w:sz w:val="24"/>
        </w:rPr>
      </w:pPr>
      <w:r>
        <w:rPr>
          <w:rFonts w:hint="eastAsia" w:ascii="Arial" w:hAnsi="Arial" w:eastAsia="宋体" w:cs="Arial"/>
          <w:sz w:val="24"/>
        </w:rPr>
        <w:t>（4）在投标文件的审查、澄清、评价和比较以及授予合同过程中，供应商对采购人和评标委员会施加影响的任何行为，都将导致取消其中标资格。</w:t>
      </w:r>
    </w:p>
    <w:p>
      <w:pPr>
        <w:adjustRightInd w:val="0"/>
        <w:snapToGrid w:val="0"/>
        <w:spacing w:line="0" w:lineRule="atLeast"/>
        <w:ind w:right="-11" w:firstLine="482" w:firstLineChars="200"/>
        <w:rPr>
          <w:rFonts w:ascii="Arial" w:hAnsi="Arial" w:cs="Arial"/>
          <w:b/>
          <w:sz w:val="24"/>
        </w:rPr>
      </w:pPr>
      <w:r>
        <w:rPr>
          <w:rFonts w:ascii="Arial" w:hAnsi="Arial" w:cs="Arial"/>
          <w:b/>
          <w:sz w:val="24"/>
        </w:rPr>
        <w:t>第九条</w:t>
      </w:r>
      <w:r>
        <w:rPr>
          <w:rFonts w:ascii="Arial" w:hAnsi="Arial" w:cs="Arial"/>
          <w:sz w:val="24"/>
        </w:rPr>
        <w:t>各</w:t>
      </w:r>
      <w:r>
        <w:rPr>
          <w:rFonts w:hint="eastAsia" w:ascii="Arial" w:hAnsi="Arial" w:cs="Arial"/>
          <w:sz w:val="24"/>
        </w:rPr>
        <w:t>供应商</w:t>
      </w:r>
      <w:r>
        <w:rPr>
          <w:rFonts w:ascii="Arial" w:hAnsi="Arial" w:cs="Arial"/>
          <w:sz w:val="24"/>
        </w:rPr>
        <w:t>的得分分值一经得出，并核对无误后，任何人不得更改。</w:t>
      </w:r>
    </w:p>
    <w:p>
      <w:pPr>
        <w:pStyle w:val="27"/>
        <w:spacing w:line="0" w:lineRule="atLeast"/>
        <w:ind w:right="-11" w:firstLine="495"/>
        <w:rPr>
          <w:rFonts w:ascii="Arial" w:hAnsi="Arial" w:eastAsia="宋体" w:cs="Arial"/>
          <w:sz w:val="24"/>
        </w:rPr>
      </w:pPr>
      <w:r>
        <w:rPr>
          <w:rFonts w:ascii="Arial" w:hAnsi="Arial" w:eastAsia="宋体" w:cs="Arial"/>
          <w:b/>
          <w:sz w:val="24"/>
        </w:rPr>
        <w:t>第十条</w:t>
      </w:r>
      <w:r>
        <w:rPr>
          <w:rFonts w:ascii="Arial" w:hAnsi="Arial" w:eastAsia="宋体" w:cs="Arial"/>
          <w:sz w:val="24"/>
        </w:rPr>
        <w:t>如果综合总得分出现两家或两家以上相同者，则采取</w:t>
      </w:r>
      <w:r>
        <w:rPr>
          <w:rFonts w:hint="eastAsia" w:ascii="Arial" w:hAnsi="Arial" w:eastAsia="宋体" w:cs="Arial"/>
          <w:sz w:val="24"/>
        </w:rPr>
        <w:t>评委会组长</w:t>
      </w:r>
      <w:r>
        <w:rPr>
          <w:rFonts w:ascii="Arial" w:hAnsi="Arial" w:eastAsia="宋体" w:cs="Arial"/>
          <w:sz w:val="24"/>
        </w:rPr>
        <w:t>抽签方式确定中标候选顺序。</w:t>
      </w:r>
    </w:p>
    <w:p>
      <w:pPr>
        <w:adjustRightInd w:val="0"/>
        <w:snapToGrid w:val="0"/>
        <w:spacing w:line="0" w:lineRule="atLeast"/>
        <w:ind w:right="-11" w:firstLine="482" w:firstLineChars="200"/>
        <w:rPr>
          <w:rFonts w:ascii="Arial" w:hAnsi="Arial" w:cs="Arial"/>
          <w:b/>
          <w:sz w:val="24"/>
        </w:rPr>
      </w:pPr>
      <w:r>
        <w:rPr>
          <w:rFonts w:ascii="Arial" w:hAnsi="Arial" w:cs="Arial"/>
          <w:b/>
          <w:sz w:val="24"/>
        </w:rPr>
        <w:t>第</w:t>
      </w:r>
      <w:r>
        <w:rPr>
          <w:rFonts w:ascii="Arial" w:hAnsi="Arial" w:cs="Arial"/>
          <w:b/>
          <w:bCs/>
          <w:sz w:val="24"/>
        </w:rPr>
        <w:t>十</w:t>
      </w:r>
      <w:r>
        <w:rPr>
          <w:rFonts w:ascii="Arial" w:hAnsi="Arial" w:cs="Arial"/>
          <w:b/>
          <w:sz w:val="24"/>
        </w:rPr>
        <w:t>一条</w:t>
      </w:r>
      <w:r>
        <w:rPr>
          <w:rFonts w:ascii="Arial" w:hAnsi="Arial" w:cs="Arial"/>
          <w:sz w:val="24"/>
        </w:rPr>
        <w:t>评标委员会在评标过程中发现的问题，应当区别情形及时作出处理或者向</w:t>
      </w:r>
      <w:r>
        <w:rPr>
          <w:rFonts w:hint="eastAsia" w:ascii="Arial" w:hAnsi="Arial" w:cs="Arial"/>
          <w:sz w:val="24"/>
        </w:rPr>
        <w:t>采购人</w:t>
      </w:r>
      <w:r>
        <w:rPr>
          <w:rFonts w:ascii="Arial" w:hAnsi="Arial" w:cs="Arial"/>
          <w:sz w:val="24"/>
        </w:rPr>
        <w:t>提出处理建议，并作书面记录。</w:t>
      </w:r>
    </w:p>
    <w:p>
      <w:pPr>
        <w:adjustRightInd w:val="0"/>
        <w:snapToGrid w:val="0"/>
        <w:spacing w:line="0" w:lineRule="atLeast"/>
        <w:ind w:right="-11" w:firstLine="482" w:firstLineChars="200"/>
        <w:rPr>
          <w:rFonts w:ascii="Arial" w:hAnsi="Arial" w:cs="Arial"/>
          <w:sz w:val="24"/>
        </w:rPr>
      </w:pPr>
      <w:r>
        <w:rPr>
          <w:rFonts w:ascii="Arial" w:hAnsi="Arial" w:cs="Arial"/>
          <w:b/>
          <w:sz w:val="24"/>
        </w:rPr>
        <w:t>第</w:t>
      </w:r>
      <w:r>
        <w:rPr>
          <w:rFonts w:ascii="Arial" w:hAnsi="Arial" w:cs="Arial"/>
          <w:b/>
          <w:bCs/>
          <w:sz w:val="24"/>
        </w:rPr>
        <w:t>十二</w:t>
      </w:r>
      <w:r>
        <w:rPr>
          <w:rFonts w:ascii="Arial" w:hAnsi="Arial" w:cs="Arial"/>
          <w:b/>
          <w:sz w:val="24"/>
        </w:rPr>
        <w:t>条</w:t>
      </w:r>
      <w:r>
        <w:rPr>
          <w:rFonts w:ascii="Arial" w:hAnsi="Arial" w:cs="Arial"/>
          <w:sz w:val="24"/>
        </w:rPr>
        <w:t>在评审过程中，</w:t>
      </w:r>
      <w:r>
        <w:rPr>
          <w:rFonts w:hint="eastAsia" w:ascii="Arial" w:hAnsi="Arial" w:cs="Arial"/>
          <w:sz w:val="24"/>
        </w:rPr>
        <w:t>评标委员会认为供应商的报价明显低于其他通过资格性</w:t>
      </w:r>
      <w:r>
        <w:rPr>
          <w:rFonts w:ascii="Arial" w:hAnsi="Arial" w:cs="Arial"/>
          <w:sz w:val="24"/>
        </w:rPr>
        <w:t>和</w:t>
      </w:r>
      <w:r>
        <w:rPr>
          <w:rFonts w:hint="eastAsia" w:ascii="Arial" w:hAnsi="Arial" w:cs="Arial"/>
          <w:sz w:val="24"/>
        </w:rPr>
        <w:t>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r>
        <w:rPr>
          <w:rFonts w:ascii="Arial" w:hAnsi="Arial" w:cs="Arial"/>
          <w:sz w:val="24"/>
        </w:rPr>
        <w:t>。</w:t>
      </w:r>
    </w:p>
    <w:p>
      <w:pPr>
        <w:adjustRightInd w:val="0"/>
        <w:snapToGrid w:val="0"/>
        <w:spacing w:line="0" w:lineRule="atLeast"/>
        <w:ind w:right="-10" w:firstLine="482" w:firstLineChars="200"/>
        <w:rPr>
          <w:rFonts w:ascii="Arial" w:hAnsi="Arial" w:cs="Arial"/>
          <w:sz w:val="24"/>
        </w:rPr>
      </w:pPr>
      <w:r>
        <w:rPr>
          <w:rFonts w:ascii="Arial" w:hAnsi="Arial" w:cs="Arial"/>
          <w:b/>
          <w:bCs/>
          <w:sz w:val="24"/>
        </w:rPr>
        <w:t>第十</w:t>
      </w:r>
      <w:r>
        <w:rPr>
          <w:rFonts w:ascii="Arial" w:hAnsi="Arial" w:cs="Arial"/>
          <w:b/>
          <w:sz w:val="24"/>
        </w:rPr>
        <w:t>三</w:t>
      </w:r>
      <w:r>
        <w:rPr>
          <w:rFonts w:ascii="Arial" w:hAnsi="Arial" w:cs="Arial"/>
          <w:b/>
          <w:bCs/>
          <w:sz w:val="24"/>
        </w:rPr>
        <w:t>条</w:t>
      </w:r>
      <w:r>
        <w:rPr>
          <w:rFonts w:hint="eastAsia" w:ascii="Arial" w:hAnsi="Arial" w:cs="Arial"/>
          <w:sz w:val="24"/>
        </w:rPr>
        <w:t>供应商</w:t>
      </w:r>
      <w:r>
        <w:rPr>
          <w:rFonts w:ascii="Arial" w:hAnsi="Arial" w:cs="Arial"/>
          <w:sz w:val="24"/>
        </w:rPr>
        <w:t>有串通投标、弄虚作假、行贿等违法行为，评委会有权否决其投标。</w:t>
      </w:r>
    </w:p>
    <w:p>
      <w:pPr>
        <w:adjustRightInd w:val="0"/>
        <w:snapToGrid w:val="0"/>
        <w:spacing w:line="0" w:lineRule="atLeast"/>
        <w:ind w:right="-10" w:firstLine="482" w:firstLineChars="200"/>
        <w:rPr>
          <w:rFonts w:ascii="Arial" w:hAnsi="Arial" w:cs="Arial"/>
          <w:sz w:val="24"/>
        </w:rPr>
      </w:pPr>
      <w:r>
        <w:rPr>
          <w:rFonts w:ascii="Arial" w:hAnsi="Arial" w:cs="Arial"/>
          <w:b/>
          <w:bCs/>
          <w:sz w:val="24"/>
        </w:rPr>
        <w:t>第十四条</w:t>
      </w:r>
      <w:r>
        <w:rPr>
          <w:rFonts w:ascii="Arial" w:hAnsi="Arial" w:cs="Arial"/>
          <w:sz w:val="24"/>
        </w:rPr>
        <w:t>评标后，评标委员会应编写评审报告并签字。评审报告是评标委员会根据全体评标成员签字的原始评标记录和评标结果编写的报告，评标委员会全体成员及监督员均须在评审报告上签字。评审报告应如实记录本次评标的主要过程，全面反映评标过程中的各种不同的意见，以及其他澄清、说明、补正事项。</w:t>
      </w:r>
    </w:p>
    <w:p>
      <w:pPr>
        <w:adjustRightInd w:val="0"/>
        <w:snapToGrid w:val="0"/>
        <w:spacing w:line="0" w:lineRule="atLeast"/>
        <w:ind w:right="-11" w:firstLine="482" w:firstLineChars="200"/>
        <w:rPr>
          <w:rFonts w:ascii="Arial" w:hAnsi="Arial" w:cs="Arial"/>
          <w:sz w:val="24"/>
        </w:rPr>
      </w:pPr>
      <w:r>
        <w:rPr>
          <w:rFonts w:ascii="Arial" w:hAnsi="Arial" w:cs="Arial"/>
          <w:b/>
          <w:sz w:val="24"/>
        </w:rPr>
        <w:t>第十</w:t>
      </w:r>
      <w:r>
        <w:rPr>
          <w:rFonts w:ascii="Arial" w:hAnsi="Arial" w:cs="Arial"/>
          <w:b/>
          <w:bCs/>
          <w:sz w:val="24"/>
        </w:rPr>
        <w:t>五</w:t>
      </w:r>
      <w:r>
        <w:rPr>
          <w:rFonts w:ascii="Arial" w:hAnsi="Arial" w:cs="Arial"/>
          <w:b/>
          <w:sz w:val="24"/>
        </w:rPr>
        <w:t>条</w:t>
      </w:r>
      <w:r>
        <w:rPr>
          <w:rFonts w:ascii="Arial" w:hAnsi="Arial" w:cs="Arial"/>
          <w:sz w:val="24"/>
        </w:rPr>
        <w:t>评标委员会成员应当在评审报告上签字，对自己的评审意见承担法律责任。对评审报告有异议的，应当在评审报告上签署不同意见，并说明理由，否则视为同意评审报告。</w:t>
      </w:r>
    </w:p>
    <w:p>
      <w:pPr>
        <w:adjustRightInd w:val="0"/>
        <w:snapToGrid w:val="0"/>
        <w:spacing w:line="0" w:lineRule="atLeast"/>
        <w:ind w:right="-11"/>
        <w:jc w:val="center"/>
        <w:rPr>
          <w:rFonts w:ascii="Arial" w:hAnsi="Arial" w:cs="Arial"/>
          <w:sz w:val="24"/>
        </w:rPr>
      </w:pPr>
      <w:r>
        <w:rPr>
          <w:rFonts w:ascii="Arial" w:hAnsi="Arial" w:cs="Arial"/>
          <w:b/>
          <w:sz w:val="24"/>
        </w:rPr>
        <w:t>三．评标纪律</w:t>
      </w:r>
    </w:p>
    <w:p>
      <w:pPr>
        <w:adjustRightInd w:val="0"/>
        <w:snapToGrid w:val="0"/>
        <w:spacing w:line="0" w:lineRule="atLeast"/>
        <w:ind w:right="-11" w:firstLine="482" w:firstLineChars="200"/>
        <w:rPr>
          <w:rFonts w:ascii="Arial" w:hAnsi="Arial" w:cs="Arial"/>
          <w:sz w:val="24"/>
        </w:rPr>
      </w:pPr>
      <w:r>
        <w:rPr>
          <w:rFonts w:ascii="Arial" w:hAnsi="Arial" w:cs="Arial"/>
          <w:b/>
          <w:sz w:val="24"/>
        </w:rPr>
        <w:t>第十六条</w:t>
      </w:r>
      <w:r>
        <w:rPr>
          <w:rFonts w:ascii="Arial" w:hAnsi="Arial" w:cs="Arial"/>
          <w:sz w:val="24"/>
        </w:rPr>
        <w:t>评标委员会和评标工作人员应严格遵守国家的法律、法规和规章制度；严格按照本次招标文件进行评标；公正廉洁、不徇私情，不得损害国家利益；保护</w:t>
      </w:r>
      <w:r>
        <w:rPr>
          <w:rFonts w:hint="eastAsia" w:ascii="Arial" w:hAnsi="Arial" w:cs="Arial"/>
          <w:sz w:val="24"/>
        </w:rPr>
        <w:t>采购人</w:t>
      </w:r>
      <w:r>
        <w:rPr>
          <w:rFonts w:ascii="Arial" w:hAnsi="Arial" w:cs="Arial"/>
          <w:sz w:val="24"/>
        </w:rPr>
        <w:t>、</w:t>
      </w:r>
      <w:r>
        <w:rPr>
          <w:rFonts w:hint="eastAsia" w:ascii="Arial" w:hAnsi="Arial" w:cs="Arial"/>
          <w:sz w:val="24"/>
        </w:rPr>
        <w:t>供应商</w:t>
      </w:r>
      <w:r>
        <w:rPr>
          <w:rFonts w:ascii="Arial" w:hAnsi="Arial" w:cs="Arial"/>
          <w:sz w:val="24"/>
        </w:rPr>
        <w:t>的合法权益。</w:t>
      </w:r>
    </w:p>
    <w:p>
      <w:pPr>
        <w:adjustRightInd w:val="0"/>
        <w:snapToGrid w:val="0"/>
        <w:spacing w:line="0" w:lineRule="atLeast"/>
        <w:ind w:right="-11" w:firstLine="482" w:firstLineChars="200"/>
        <w:rPr>
          <w:rFonts w:ascii="Arial" w:hAnsi="Arial" w:cs="Arial"/>
          <w:bCs/>
          <w:sz w:val="24"/>
        </w:rPr>
      </w:pPr>
      <w:r>
        <w:rPr>
          <w:rFonts w:ascii="Arial" w:hAnsi="Arial" w:cs="Arial"/>
          <w:b/>
          <w:sz w:val="24"/>
        </w:rPr>
        <w:t>第十七条</w:t>
      </w:r>
      <w:r>
        <w:rPr>
          <w:rFonts w:ascii="Arial" w:hAnsi="Arial" w:cs="Arial"/>
          <w:sz w:val="24"/>
        </w:rPr>
        <w:t>在评标过程中，评委及其他评标工作人员必须对评标情况严格保密，任何人不得将评标情况透露给与</w:t>
      </w:r>
      <w:r>
        <w:rPr>
          <w:rFonts w:hint="eastAsia" w:ascii="Arial" w:hAnsi="Arial" w:cs="Arial"/>
          <w:sz w:val="24"/>
        </w:rPr>
        <w:t>供应商</w:t>
      </w:r>
      <w:r>
        <w:rPr>
          <w:rFonts w:ascii="Arial" w:hAnsi="Arial" w:cs="Arial"/>
          <w:sz w:val="24"/>
        </w:rPr>
        <w:t>有关的单位和个人。如有违反评标纪律的情况发生，将依据</w:t>
      </w:r>
      <w:r>
        <w:rPr>
          <w:rFonts w:hint="eastAsia" w:ascii="Arial" w:hAnsi="Arial" w:cs="Arial"/>
          <w:sz w:val="24"/>
        </w:rPr>
        <w:t>相关</w:t>
      </w:r>
      <w:r>
        <w:rPr>
          <w:rFonts w:ascii="Arial" w:hAnsi="Arial" w:cs="Arial"/>
          <w:sz w:val="24"/>
        </w:rPr>
        <w:t>法律法规的规定，追究有关当事人的责任。</w:t>
      </w:r>
    </w:p>
    <w:p>
      <w:pPr>
        <w:spacing w:line="0" w:lineRule="atLeast"/>
        <w:rPr>
          <w:rFonts w:ascii="Arial" w:hAnsi="Arial" w:cs="Arial"/>
          <w:bCs/>
          <w:sz w:val="24"/>
        </w:rPr>
      </w:pPr>
    </w:p>
    <w:p>
      <w:pPr>
        <w:spacing w:line="0" w:lineRule="atLeast"/>
        <w:ind w:firstLine="549"/>
        <w:rPr>
          <w:rFonts w:ascii="Arial" w:hAnsi="Arial" w:cs="Arial"/>
          <w:bCs/>
          <w:sz w:val="24"/>
        </w:rPr>
      </w:pPr>
      <w:r>
        <w:rPr>
          <w:rFonts w:ascii="Arial" w:hAnsi="Arial" w:cs="Arial"/>
          <w:bCs/>
          <w:sz w:val="24"/>
        </w:rPr>
        <w:br w:type="page"/>
      </w:r>
    </w:p>
    <w:p>
      <w:pPr>
        <w:pStyle w:val="3"/>
        <w:spacing w:line="0" w:lineRule="atLeast"/>
        <w:ind w:firstLine="0"/>
        <w:rPr>
          <w:rFonts w:eastAsia="宋体" w:cs="Arial"/>
        </w:rPr>
      </w:pPr>
      <w:bookmarkStart w:id="9" w:name="_Toc15417"/>
      <w:bookmarkStart w:id="10" w:name="_Toc220232392"/>
      <w:bookmarkStart w:id="11" w:name="_Toc220232390"/>
      <w:bookmarkStart w:id="12" w:name="_Toc418935907"/>
      <w:r>
        <w:rPr>
          <w:rFonts w:hint="eastAsia" w:eastAsia="宋体" w:cs="Arial"/>
        </w:rPr>
        <w:t>采购</w:t>
      </w:r>
      <w:r>
        <w:rPr>
          <w:rFonts w:eastAsia="宋体" w:cs="Arial"/>
        </w:rPr>
        <w:t>合同</w:t>
      </w:r>
      <w:bookmarkEnd w:id="9"/>
      <w:bookmarkEnd w:id="10"/>
    </w:p>
    <w:p>
      <w:pPr>
        <w:widowControl/>
        <w:spacing w:before="100" w:beforeAutospacing="1" w:after="100" w:afterAutospacing="1" w:line="0" w:lineRule="atLeast"/>
        <w:ind w:firstLine="480" w:firstLineChars="200"/>
        <w:jc w:val="left"/>
        <w:rPr>
          <w:rFonts w:ascii="宋体" w:hAnsi="宋体" w:cs="宋体"/>
          <w:kern w:val="0"/>
          <w:sz w:val="24"/>
          <w:szCs w:val="24"/>
        </w:rPr>
      </w:pPr>
      <w:bookmarkStart w:id="13" w:name="_Toc363638223"/>
    </w:p>
    <w:p>
      <w:pPr>
        <w:adjustRightInd w:val="0"/>
        <w:snapToGrid w:val="0"/>
        <w:spacing w:line="480" w:lineRule="exact"/>
        <w:jc w:val="center"/>
        <w:rPr>
          <w:rFonts w:ascii="宋体" w:hAnsi="宋体"/>
          <w:sz w:val="44"/>
          <w:szCs w:val="44"/>
        </w:rPr>
      </w:pPr>
    </w:p>
    <w:p>
      <w:pPr>
        <w:adjustRightInd w:val="0"/>
        <w:snapToGrid w:val="0"/>
        <w:spacing w:line="480" w:lineRule="exact"/>
        <w:jc w:val="center"/>
        <w:rPr>
          <w:rFonts w:ascii="宋体" w:hAnsi="宋体"/>
          <w:b/>
          <w:bCs/>
          <w:sz w:val="44"/>
          <w:szCs w:val="44"/>
        </w:rPr>
      </w:pPr>
      <w:r>
        <w:rPr>
          <w:rFonts w:hint="eastAsia" w:ascii="宋体" w:hAnsi="宋体"/>
          <w:b/>
          <w:bCs/>
          <w:sz w:val="44"/>
          <w:szCs w:val="44"/>
        </w:rPr>
        <w:t>池州学院学生食堂经营合同书</w:t>
      </w:r>
    </w:p>
    <w:p>
      <w:pPr>
        <w:pStyle w:val="33"/>
        <w:spacing w:line="500" w:lineRule="exact"/>
        <w:rPr>
          <w:rFonts w:ascii="仿宋_GB2312" w:eastAsia="仿宋_GB2312"/>
          <w:b/>
          <w:sz w:val="28"/>
        </w:rPr>
      </w:pPr>
    </w:p>
    <w:p>
      <w:pPr>
        <w:pStyle w:val="33"/>
        <w:spacing w:line="500" w:lineRule="exact"/>
        <w:rPr>
          <w:rFonts w:ascii="仿宋_GB2312" w:eastAsia="仿宋_GB2312"/>
          <w:b/>
          <w:sz w:val="28"/>
        </w:rPr>
      </w:pPr>
    </w:p>
    <w:p>
      <w:pPr>
        <w:pStyle w:val="33"/>
        <w:spacing w:line="500" w:lineRule="exact"/>
        <w:rPr>
          <w:rFonts w:ascii="仿宋_GB2312" w:eastAsia="仿宋_GB2312"/>
          <w:b/>
          <w:sz w:val="28"/>
        </w:rPr>
      </w:pPr>
    </w:p>
    <w:p>
      <w:pPr>
        <w:pStyle w:val="33"/>
        <w:spacing w:line="500" w:lineRule="exact"/>
        <w:rPr>
          <w:rFonts w:ascii="仿宋_GB2312" w:eastAsia="仿宋_GB2312"/>
          <w:b/>
          <w:sz w:val="28"/>
          <w:u w:val="single"/>
        </w:rPr>
      </w:pPr>
      <w:r>
        <w:rPr>
          <w:rFonts w:hint="eastAsia" w:ascii="仿宋_GB2312" w:eastAsia="仿宋_GB2312"/>
          <w:b/>
          <w:sz w:val="28"/>
        </w:rPr>
        <w:t>甲方(发包方)：</w:t>
      </w:r>
      <w:r>
        <w:rPr>
          <w:rFonts w:hint="eastAsia" w:ascii="仿宋_GB2312" w:eastAsia="仿宋_GB2312"/>
          <w:b/>
          <w:sz w:val="28"/>
          <w:u w:val="single"/>
        </w:rPr>
        <w:t>池州学院</w:t>
      </w:r>
    </w:p>
    <w:p>
      <w:pPr>
        <w:pStyle w:val="33"/>
        <w:spacing w:line="500" w:lineRule="exact"/>
        <w:rPr>
          <w:rFonts w:ascii="仿宋_GB2312" w:eastAsia="仿宋_GB2312"/>
          <w:b/>
          <w:sz w:val="28"/>
          <w:u w:val="single"/>
        </w:rPr>
      </w:pPr>
      <w:r>
        <w:rPr>
          <w:rFonts w:hint="eastAsia" w:ascii="仿宋_GB2312" w:eastAsia="仿宋_GB2312"/>
          <w:b/>
          <w:sz w:val="28"/>
        </w:rPr>
        <w:t>乙方(承包方)：</w:t>
      </w:r>
    </w:p>
    <w:p>
      <w:pPr>
        <w:pStyle w:val="33"/>
        <w:spacing w:before="240" w:after="120" w:line="500" w:lineRule="exact"/>
        <w:jc w:val="center"/>
        <w:rPr>
          <w:rFonts w:ascii="仿宋_GB2312" w:eastAsia="仿宋_GB2312"/>
          <w:sz w:val="28"/>
        </w:rPr>
      </w:pPr>
      <w:r>
        <w:rPr>
          <w:rFonts w:hint="eastAsia" w:ascii="黑体" w:eastAsia="黑体"/>
          <w:sz w:val="28"/>
        </w:rPr>
        <w:t>一、总   则</w:t>
      </w:r>
    </w:p>
    <w:p>
      <w:pPr>
        <w:adjustRightInd w:val="0"/>
        <w:snapToGrid w:val="0"/>
        <w:spacing w:line="500" w:lineRule="exact"/>
        <w:ind w:firstLine="560" w:firstLineChars="200"/>
        <w:rPr>
          <w:rFonts w:ascii="仿宋_GB2312" w:hAnsi="Arial" w:eastAsia="仿宋_GB2312"/>
          <w:sz w:val="28"/>
        </w:rPr>
      </w:pPr>
    </w:p>
    <w:p>
      <w:pPr>
        <w:numPr>
          <w:ilvl w:val="0"/>
          <w:numId w:val="4"/>
        </w:num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 xml:space="preserve"> 根据国家法律、法规及有关政策规定，遵循“平等互利、协商一致、等价有偿”的原则，通过公开竞标，乙方获甲方所属学生食堂的经营承包权。经双方协商订立本合同。</w:t>
      </w:r>
    </w:p>
    <w:p>
      <w:pPr>
        <w:numPr>
          <w:ilvl w:val="0"/>
          <w:numId w:val="4"/>
        </w:num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甲方委托（甲方的学生食堂管理部门）负责本合同实施中具体事宜的监督管理和协调服务。</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第三条  乙方指派为食堂负责人，负责食堂的日常经营管理。乙方不得将食堂经营权和设备转包、出借给第三方，不得经营学生餐饮以外的业务,如舞厅、网吧等，不得擅自停业。</w:t>
      </w:r>
    </w:p>
    <w:p>
      <w:pPr>
        <w:spacing w:line="500" w:lineRule="exact"/>
        <w:ind w:firstLine="560" w:firstLineChars="200"/>
        <w:rPr>
          <w:rFonts w:ascii="仿宋_GB2312" w:hAnsi="宋体" w:eastAsia="仿宋_GB2312"/>
          <w:sz w:val="28"/>
        </w:rPr>
      </w:pPr>
      <w:r>
        <w:rPr>
          <w:rFonts w:hint="eastAsia" w:ascii="仿宋_GB2312" w:hAnsi="Arial" w:eastAsia="仿宋_GB2312"/>
          <w:sz w:val="28"/>
        </w:rPr>
        <w:t>第四条  乙方要树立</w:t>
      </w:r>
      <w:r>
        <w:rPr>
          <w:rFonts w:hint="eastAsia" w:ascii="仿宋_GB2312" w:hAnsi="宋体" w:eastAsia="仿宋_GB2312"/>
          <w:sz w:val="28"/>
        </w:rPr>
        <w:t>为师生提供优质餐饮服务的经营理念和良好的职业道德，充分认识高校餐饮所具有的公益性特点，</w:t>
      </w:r>
      <w:r>
        <w:rPr>
          <w:rFonts w:hint="eastAsia" w:ascii="仿宋_GB2312" w:hAnsi="Arial" w:eastAsia="仿宋_GB2312"/>
          <w:sz w:val="28"/>
        </w:rPr>
        <w:t>确保饮食质量和食品卫生安全，切实履行竞标承诺，为学校的稳定和发展做出贡献。</w:t>
      </w:r>
    </w:p>
    <w:p>
      <w:pPr>
        <w:adjustRightInd w:val="0"/>
        <w:snapToGrid w:val="0"/>
        <w:spacing w:line="500" w:lineRule="exact"/>
        <w:rPr>
          <w:rFonts w:ascii="仿宋_GB2312" w:hAnsi="Arial" w:eastAsia="仿宋_GB2312"/>
          <w:sz w:val="28"/>
        </w:rPr>
      </w:pPr>
    </w:p>
    <w:p>
      <w:pPr>
        <w:adjustRightInd w:val="0"/>
        <w:snapToGrid w:val="0"/>
        <w:spacing w:line="500" w:lineRule="exact"/>
        <w:jc w:val="center"/>
        <w:rPr>
          <w:rFonts w:ascii="黑体" w:hAnsi="Arial" w:eastAsia="黑体"/>
          <w:sz w:val="28"/>
        </w:rPr>
      </w:pPr>
      <w:r>
        <w:rPr>
          <w:rFonts w:hint="eastAsia" w:ascii="黑体" w:hAnsi="Arial" w:eastAsia="黑体"/>
          <w:sz w:val="28"/>
        </w:rPr>
        <w:t>二、经营标的及合同履约保证金</w:t>
      </w:r>
    </w:p>
    <w:p>
      <w:pPr>
        <w:adjustRightInd w:val="0"/>
        <w:snapToGrid w:val="0"/>
        <w:spacing w:line="500" w:lineRule="exact"/>
        <w:rPr>
          <w:rFonts w:ascii="仿宋_GB2312" w:hAnsi="Arial" w:eastAsia="仿宋_GB2312"/>
          <w:sz w:val="28"/>
        </w:rPr>
      </w:pPr>
    </w:p>
    <w:p>
      <w:pPr>
        <w:wordWrap w:val="0"/>
        <w:topLinePunct/>
        <w:adjustRightInd w:val="0"/>
        <w:snapToGrid w:val="0"/>
        <w:spacing w:line="500" w:lineRule="exact"/>
        <w:rPr>
          <w:rFonts w:ascii="仿宋_GB2312" w:hAnsi="Arial" w:eastAsia="仿宋_GB2312"/>
          <w:sz w:val="28"/>
          <w:u w:val="single"/>
        </w:rPr>
      </w:pPr>
      <w:r>
        <w:rPr>
          <w:rFonts w:hint="eastAsia" w:ascii="仿宋_GB2312" w:hAnsi="Arial" w:eastAsia="仿宋_GB2312"/>
          <w:sz w:val="28"/>
        </w:rPr>
        <w:t xml:space="preserve">    第五条  甲方所属第</w:t>
      </w:r>
      <w:r>
        <w:rPr>
          <w:rFonts w:hint="eastAsia" w:ascii="仿宋_GB2312" w:hAnsi="Arial" w:eastAsia="仿宋_GB2312"/>
          <w:sz w:val="28"/>
          <w:u w:val="single"/>
        </w:rPr>
        <w:t>　　　　</w:t>
      </w:r>
      <w:r>
        <w:rPr>
          <w:rFonts w:hint="eastAsia" w:ascii="仿宋_GB2312" w:hAnsi="Arial" w:eastAsia="仿宋_GB2312"/>
          <w:sz w:val="28"/>
        </w:rPr>
        <w:t>学生食堂位于</w:t>
      </w:r>
      <w:r>
        <w:rPr>
          <w:rFonts w:hint="eastAsia" w:ascii="仿宋_GB2312" w:hAnsi="Arial" w:eastAsia="仿宋_GB2312"/>
          <w:sz w:val="28"/>
          <w:u w:val="single"/>
        </w:rPr>
        <w:t>池州学院</w:t>
      </w:r>
      <w:r>
        <w:rPr>
          <w:rFonts w:hint="eastAsia" w:ascii="仿宋_GB2312" w:hAnsi="Arial" w:eastAsia="仿宋_GB2312"/>
          <w:sz w:val="28"/>
        </w:rPr>
        <w:t>校区；总建筑面积m</w:t>
      </w:r>
      <w:r>
        <w:rPr>
          <w:rFonts w:hint="eastAsia" w:ascii="仿宋_GB2312" w:hAnsi="Arial" w:eastAsia="仿宋_GB2312"/>
          <w:sz w:val="28"/>
          <w:vertAlign w:val="superscript"/>
        </w:rPr>
        <w:t>2</w:t>
      </w:r>
      <w:r>
        <w:rPr>
          <w:rFonts w:hint="eastAsia" w:ascii="仿宋_GB2312" w:hAnsi="Arial" w:eastAsia="仿宋_GB2312"/>
          <w:sz w:val="28"/>
        </w:rPr>
        <w:t>；装饰情况：</w:t>
      </w:r>
    </w:p>
    <w:p>
      <w:pPr>
        <w:adjustRightInd w:val="0"/>
        <w:snapToGrid w:val="0"/>
        <w:spacing w:line="500" w:lineRule="exact"/>
        <w:ind w:left="140" w:hanging="140" w:hangingChars="50"/>
        <w:jc w:val="left"/>
        <w:rPr>
          <w:rFonts w:ascii="仿宋_GB2312" w:hAnsi="Arial" w:eastAsia="仿宋_GB2312"/>
          <w:sz w:val="28"/>
        </w:rPr>
      </w:pPr>
      <w:r>
        <w:rPr>
          <w:rFonts w:hint="eastAsia" w:ascii="仿宋_GB2312" w:hAnsi="Arial" w:eastAsia="仿宋_GB2312"/>
          <w:sz w:val="28"/>
        </w:rPr>
        <w:t>。</w:t>
      </w:r>
    </w:p>
    <w:p>
      <w:pPr>
        <w:adjustRightInd w:val="0"/>
        <w:snapToGrid w:val="0"/>
        <w:spacing w:line="500" w:lineRule="exact"/>
        <w:ind w:firstLine="560" w:firstLineChars="200"/>
        <w:jc w:val="left"/>
        <w:rPr>
          <w:rFonts w:ascii="仿宋_GB2312" w:hAnsi="Arial" w:eastAsia="仿宋_GB2312"/>
          <w:sz w:val="28"/>
        </w:rPr>
      </w:pPr>
      <w:r>
        <w:rPr>
          <w:rFonts w:hint="eastAsia" w:ascii="仿宋_GB2312" w:hAnsi="Arial" w:eastAsia="仿宋_GB2312"/>
          <w:sz w:val="28"/>
        </w:rPr>
        <w:t>设备设施见双方移交明细清单（见附件）。</w:t>
      </w:r>
    </w:p>
    <w:p>
      <w:pPr>
        <w:adjustRightInd w:val="0"/>
        <w:snapToGrid w:val="0"/>
        <w:spacing w:line="500" w:lineRule="exact"/>
        <w:ind w:firstLine="560" w:firstLineChars="200"/>
        <w:rPr>
          <w:rFonts w:ascii="黑体" w:hAnsi="Arial" w:eastAsia="黑体"/>
          <w:sz w:val="28"/>
        </w:rPr>
      </w:pPr>
      <w:r>
        <w:rPr>
          <w:rFonts w:hint="eastAsia" w:ascii="仿宋_GB2312" w:hAnsi="Arial" w:eastAsia="仿宋_GB2312"/>
          <w:sz w:val="28"/>
        </w:rPr>
        <w:t>第六条  乙方向甲方交纳合同履约保证金人民币万元整。合同期满，与甲方债权、债务结清后，并在乙方撤离之日起日内，退回履约保证金(不计利息)。</w:t>
      </w:r>
    </w:p>
    <w:p>
      <w:pPr>
        <w:adjustRightInd w:val="0"/>
        <w:snapToGrid w:val="0"/>
        <w:spacing w:line="500" w:lineRule="exact"/>
        <w:jc w:val="center"/>
        <w:rPr>
          <w:rFonts w:ascii="黑体" w:hAnsi="Arial" w:eastAsia="黑体"/>
          <w:sz w:val="28"/>
        </w:rPr>
      </w:pPr>
      <w:r>
        <w:rPr>
          <w:rFonts w:hint="eastAsia" w:ascii="黑体" w:hAnsi="Arial" w:eastAsia="黑体"/>
          <w:sz w:val="28"/>
        </w:rPr>
        <w:t>三、承包期限及相关约定</w:t>
      </w:r>
    </w:p>
    <w:p>
      <w:pPr>
        <w:adjustRightInd w:val="0"/>
        <w:snapToGrid w:val="0"/>
        <w:spacing w:line="500" w:lineRule="exact"/>
        <w:ind w:firstLine="560" w:firstLineChars="200"/>
        <w:rPr>
          <w:rFonts w:ascii="仿宋_GB2312" w:hAnsi="Arial" w:eastAsia="仿宋_GB2312"/>
          <w:sz w:val="28"/>
        </w:rPr>
      </w:pPr>
    </w:p>
    <w:p>
      <w:pPr>
        <w:numPr>
          <w:ilvl w:val="0"/>
          <w:numId w:val="5"/>
        </w:num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 xml:space="preserve"> 承包期限：自年月日至年月日止。</w:t>
      </w:r>
    </w:p>
    <w:p>
      <w:pPr>
        <w:adjustRightInd w:val="0"/>
        <w:snapToGrid w:val="0"/>
        <w:spacing w:line="500" w:lineRule="exact"/>
        <w:ind w:firstLine="560" w:firstLineChars="200"/>
        <w:rPr>
          <w:rFonts w:ascii="仿宋_GB2312" w:hAnsi="Arial" w:eastAsia="仿宋_GB2312"/>
          <w:b/>
          <w:sz w:val="28"/>
          <w:u w:val="single"/>
        </w:rPr>
      </w:pPr>
      <w:r>
        <w:rPr>
          <w:rFonts w:hint="eastAsia" w:ascii="仿宋_GB2312" w:hAnsi="Arial" w:eastAsia="仿宋_GB2312"/>
          <w:sz w:val="28"/>
        </w:rPr>
        <w:t>第八条  学生食堂使用的相关约定：</w:t>
      </w:r>
    </w:p>
    <w:p>
      <w:pPr>
        <w:adjustRightInd w:val="0"/>
        <w:snapToGrid w:val="0"/>
        <w:spacing w:line="500" w:lineRule="exact"/>
        <w:ind w:left="140" w:hanging="140" w:hangingChars="50"/>
        <w:rPr>
          <w:rFonts w:ascii="仿宋_GB2312" w:hAnsi="Arial" w:eastAsia="仿宋_GB2312"/>
          <w:sz w:val="28"/>
          <w:u w:val="single"/>
        </w:rPr>
      </w:pPr>
      <w:r>
        <w:rPr>
          <w:rFonts w:hint="eastAsia" w:ascii="仿宋_GB2312" w:hAnsi="Arial" w:eastAsia="仿宋_GB2312"/>
          <w:sz w:val="28"/>
          <w:u w:val="single"/>
        </w:rPr>
        <w:t xml:space="preserve">                                  　　　　　　　　　　　　　　　   </w:t>
      </w:r>
    </w:p>
    <w:p>
      <w:pPr>
        <w:adjustRightInd w:val="0"/>
        <w:snapToGrid w:val="0"/>
        <w:spacing w:line="500" w:lineRule="exact"/>
        <w:ind w:left="140" w:hanging="140" w:hangingChars="50"/>
        <w:rPr>
          <w:rFonts w:ascii="仿宋_GB2312" w:hAnsi="Arial" w:eastAsia="仿宋_GB2312"/>
          <w:sz w:val="28"/>
        </w:rPr>
      </w:pPr>
      <w:r>
        <w:rPr>
          <w:rFonts w:hint="eastAsia" w:ascii="仿宋_GB2312" w:hAnsi="Arial" w:eastAsia="仿宋_GB2312"/>
          <w:sz w:val="28"/>
          <w:u w:val="single"/>
        </w:rPr>
        <w:t xml:space="preserve">                　　　　　　　　　　　　　　　　　　　　　　　　</w:t>
      </w:r>
      <w:r>
        <w:rPr>
          <w:rFonts w:hint="eastAsia" w:ascii="仿宋_GB2312" w:hAnsi="Arial" w:eastAsia="仿宋_GB2312"/>
          <w:sz w:val="28"/>
        </w:rPr>
        <w:t>。</w:t>
      </w:r>
    </w:p>
    <w:p>
      <w:pPr>
        <w:wordWrap w:val="0"/>
        <w:topLinePunct/>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第九条  乙方经营的学生食堂使用的水、电、燃气等价格的结算，依照国家规定执行当地居民价，水费按元/吨，电费按元/度，燃气费按元/立方米，蒸汽费按元/立方米计价。如遇当地政府调整以上价格标准，由双方协商做相应调整。</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第十条  乙方向甲方缴纳物业管理费用(公共费),如治安、公共照明，垃圾清运等费用，每月标准为元（经营时间不足半月按1/2月计算，超过半月按整月计算）。</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第十一条  消费交易方式：</w:t>
      </w:r>
    </w:p>
    <w:p>
      <w:pPr>
        <w:adjustRightInd w:val="0"/>
        <w:snapToGrid w:val="0"/>
        <w:spacing w:line="500" w:lineRule="exact"/>
        <w:ind w:left="141" w:leftChars="67" w:firstLine="396" w:firstLineChars="150"/>
        <w:rPr>
          <w:rFonts w:ascii="仿宋_GB2312" w:hAnsi="Arial" w:eastAsia="仿宋_GB2312"/>
          <w:sz w:val="28"/>
        </w:rPr>
      </w:pPr>
      <w:r>
        <w:rPr>
          <w:rFonts w:hint="eastAsia" w:ascii="仿宋_GB2312" w:hAnsi="Arial" w:eastAsia="仿宋_GB2312"/>
          <w:spacing w:val="-8"/>
          <w:sz w:val="28"/>
        </w:rPr>
        <w:t>甲方提供校园一卡通消费结算系统，乙方销售食品采用以下方式</w:t>
      </w:r>
      <w:r>
        <w:rPr>
          <w:rFonts w:hint="eastAsia" w:ascii="仿宋_GB2312" w:hAnsi="Arial" w:eastAsia="仿宋_GB2312"/>
          <w:sz w:val="28"/>
        </w:rPr>
        <w:t>进行交易。</w:t>
      </w:r>
    </w:p>
    <w:p>
      <w:pPr>
        <w:adjustRightInd w:val="0"/>
        <w:snapToGrid w:val="0"/>
        <w:spacing w:line="500" w:lineRule="exact"/>
        <w:ind w:firstLine="562" w:firstLineChars="200"/>
        <w:rPr>
          <w:rFonts w:ascii="仿宋_GB2312" w:hAnsi="Arial" w:eastAsia="仿宋_GB2312"/>
          <w:sz w:val="28"/>
        </w:rPr>
      </w:pPr>
      <w:r>
        <w:rPr>
          <w:rFonts w:hint="eastAsia" w:ascii="仿宋_GB2312" w:hAnsi="Arial" w:eastAsia="仿宋_GB2312"/>
          <w:b/>
          <w:sz w:val="28"/>
        </w:rPr>
        <w:t>方式一：</w:t>
      </w:r>
      <w:r>
        <w:rPr>
          <w:rFonts w:hint="eastAsia" w:ascii="仿宋_GB2312" w:hAnsi="Arial" w:eastAsia="仿宋_GB2312"/>
          <w:sz w:val="28"/>
        </w:rPr>
        <w:t>校园一卡通刷卡；</w:t>
      </w:r>
    </w:p>
    <w:p>
      <w:pPr>
        <w:adjustRightInd w:val="0"/>
        <w:snapToGrid w:val="0"/>
        <w:spacing w:line="500" w:lineRule="exact"/>
        <w:ind w:firstLine="559" w:firstLineChars="199"/>
        <w:rPr>
          <w:rFonts w:ascii="仿宋_GB2312" w:hAnsi="Arial" w:eastAsia="仿宋_GB2312"/>
          <w:sz w:val="28"/>
        </w:rPr>
      </w:pPr>
      <w:r>
        <w:rPr>
          <w:rFonts w:hint="eastAsia" w:ascii="仿宋_GB2312" w:hAnsi="Arial" w:eastAsia="仿宋_GB2312"/>
          <w:b/>
          <w:sz w:val="28"/>
        </w:rPr>
        <w:t>方式二：</w:t>
      </w:r>
      <w:r>
        <w:rPr>
          <w:rFonts w:hint="eastAsia" w:ascii="仿宋_GB2312" w:hAnsi="Arial" w:eastAsia="仿宋_GB2312"/>
          <w:sz w:val="28"/>
        </w:rPr>
        <w:t>商用收款机出售的代金券（甲方监管）；</w:t>
      </w:r>
    </w:p>
    <w:p>
      <w:pPr>
        <w:adjustRightInd w:val="0"/>
        <w:snapToGrid w:val="0"/>
        <w:spacing w:line="500" w:lineRule="exact"/>
        <w:ind w:firstLine="559" w:firstLineChars="199"/>
        <w:rPr>
          <w:rFonts w:ascii="仿宋_GB2312" w:hAnsi="Arial" w:eastAsia="仿宋_GB2312"/>
          <w:sz w:val="28"/>
        </w:rPr>
      </w:pPr>
      <w:r>
        <w:rPr>
          <w:rFonts w:hint="eastAsia" w:ascii="仿宋_GB2312" w:hAnsi="Arial" w:eastAsia="仿宋_GB2312"/>
          <w:b/>
          <w:sz w:val="28"/>
        </w:rPr>
        <w:t>方式三：</w:t>
      </w:r>
      <w:r>
        <w:rPr>
          <w:rFonts w:hint="eastAsia" w:ascii="仿宋_GB2312" w:hAnsi="Arial" w:eastAsia="仿宋_GB2312"/>
          <w:sz w:val="28"/>
        </w:rPr>
        <w:t>校园一卡通刷卡和商用收款机出售的代金券。</w:t>
      </w:r>
    </w:p>
    <w:p>
      <w:pPr>
        <w:adjustRightInd w:val="0"/>
        <w:snapToGrid w:val="0"/>
        <w:spacing w:line="500" w:lineRule="exact"/>
        <w:ind w:firstLine="562" w:firstLineChars="200"/>
        <w:rPr>
          <w:rFonts w:ascii="仿宋_GB2312" w:hAnsi="Arial" w:eastAsia="仿宋_GB2312"/>
          <w:b/>
          <w:sz w:val="28"/>
          <w:u w:val="single"/>
        </w:rPr>
      </w:pPr>
      <w:r>
        <w:rPr>
          <w:rFonts w:hint="eastAsia" w:ascii="仿宋_GB2312" w:hAnsi="Arial" w:eastAsia="仿宋_GB2312"/>
          <w:b/>
          <w:sz w:val="28"/>
        </w:rPr>
        <w:t>相关约定：</w:t>
      </w:r>
    </w:p>
    <w:p>
      <w:pPr>
        <w:adjustRightInd w:val="0"/>
        <w:snapToGrid w:val="0"/>
        <w:spacing w:line="500" w:lineRule="exact"/>
        <w:rPr>
          <w:rFonts w:ascii="仿宋_GB2312" w:hAnsi="Arial" w:eastAsia="仿宋_GB2312"/>
          <w:sz w:val="28"/>
          <w:u w:val="single"/>
        </w:rPr>
      </w:pPr>
    </w:p>
    <w:p>
      <w:pPr>
        <w:adjustRightInd w:val="0"/>
        <w:snapToGrid w:val="0"/>
        <w:spacing w:line="500" w:lineRule="exact"/>
        <w:rPr>
          <w:rFonts w:ascii="仿宋_GB2312" w:hAnsi="Arial" w:eastAsia="仿宋_GB2312"/>
          <w:sz w:val="28"/>
          <w:u w:val="single"/>
        </w:rPr>
      </w:pPr>
    </w:p>
    <w:p>
      <w:pPr>
        <w:adjustRightInd w:val="0"/>
        <w:snapToGrid w:val="0"/>
        <w:spacing w:line="500" w:lineRule="exact"/>
        <w:rPr>
          <w:rFonts w:ascii="仿宋_GB2312" w:hAnsi="Arial" w:eastAsia="仿宋_GB2312"/>
          <w:sz w:val="28"/>
        </w:rPr>
      </w:pPr>
      <w:r>
        <w:rPr>
          <w:rFonts w:hint="eastAsia" w:ascii="仿宋_GB2312" w:hAnsi="Arial" w:eastAsia="仿宋_GB2312"/>
          <w:sz w:val="28"/>
        </w:rPr>
        <w:t>。</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第十二条  结算规定：</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1、甲方应及时汇总乙方当月营业额，在扣除乙方应承担的水电等相关费用后，于下月日前办理结算支付。</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若刷卡收费额不够扣除乙方应承担的相关费用时，乙方应当及时补足差额。</w:t>
      </w:r>
    </w:p>
    <w:p>
      <w:pPr>
        <w:adjustRightInd w:val="0"/>
        <w:snapToGrid w:val="0"/>
        <w:spacing w:line="500" w:lineRule="exact"/>
        <w:ind w:firstLine="560" w:firstLineChars="200"/>
        <w:rPr>
          <w:rFonts w:ascii="仿宋_GB2312" w:hAnsi="Arial" w:eastAsia="仿宋_GB2312"/>
          <w:sz w:val="28"/>
          <w:u w:val="single"/>
        </w:rPr>
      </w:pPr>
      <w:r>
        <w:rPr>
          <w:rFonts w:hint="eastAsia" w:ascii="仿宋_GB2312" w:hAnsi="Arial" w:eastAsia="仿宋_GB2312"/>
          <w:sz w:val="28"/>
        </w:rPr>
        <w:t>2、其它：</w:t>
      </w:r>
    </w:p>
    <w:p>
      <w:pPr>
        <w:adjustRightInd w:val="0"/>
        <w:snapToGrid w:val="0"/>
        <w:spacing w:line="500" w:lineRule="exact"/>
        <w:rPr>
          <w:rFonts w:ascii="仿宋_GB2312" w:hAnsi="Arial" w:eastAsia="仿宋_GB2312"/>
          <w:sz w:val="28"/>
          <w:u w:val="single"/>
        </w:rPr>
      </w:pPr>
    </w:p>
    <w:p>
      <w:pPr>
        <w:adjustRightInd w:val="0"/>
        <w:snapToGrid w:val="0"/>
        <w:spacing w:line="500" w:lineRule="exact"/>
        <w:rPr>
          <w:rFonts w:ascii="仿宋_GB2312" w:hAnsi="Arial" w:eastAsia="仿宋_GB2312"/>
          <w:sz w:val="28"/>
        </w:rPr>
      </w:pPr>
      <w:r>
        <w:rPr>
          <w:rFonts w:hint="eastAsia" w:ascii="仿宋_GB2312" w:hAnsi="Arial" w:eastAsia="仿宋_GB2312"/>
          <w:sz w:val="28"/>
        </w:rPr>
        <w:t>。</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0" w:firstLineChars="200"/>
        <w:jc w:val="center"/>
        <w:rPr>
          <w:rFonts w:ascii="黑体" w:hAnsi="Arial" w:eastAsia="黑体"/>
          <w:sz w:val="28"/>
        </w:rPr>
      </w:pPr>
      <w:r>
        <w:rPr>
          <w:rFonts w:hint="eastAsia" w:ascii="黑体" w:hAnsi="Arial" w:eastAsia="黑体"/>
          <w:sz w:val="28"/>
        </w:rPr>
        <w:t>四、甲方的权利和义务</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第十三条  依据法律、法规和相关文件精神，制订本校“学生食堂管理规定及相关处罚规定”，据此对学生食堂进行日常监管。针对可能出现的食品卫生安全、消防安全等隐患</w:t>
      </w:r>
      <w:r>
        <w:rPr>
          <w:rFonts w:ascii="仿宋_GB2312" w:hAnsi="Arial" w:eastAsia="仿宋_GB2312"/>
          <w:sz w:val="28"/>
        </w:rPr>
        <w:t>,</w:t>
      </w:r>
      <w:r>
        <w:rPr>
          <w:rFonts w:hint="eastAsia" w:ascii="仿宋_GB2312" w:hAnsi="Arial" w:eastAsia="仿宋_GB2312"/>
          <w:sz w:val="28"/>
        </w:rPr>
        <w:t>有权要求乙方限时整改。</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第十四条  对租赁资产进行监督检查，对学生食堂因自然因素损坏部分进行修缮或进行必要的改造（因乙方非正常使用造成的损坏则由乙方承担修缮、改造费用）。</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第十五条  对乙方经营过程中的原料采购，食品加工过程中的卫生状况，所售食品的品种、份量、质量、价格及服务态度和在投标文件中所有承诺的兑现情况等实行监督检查，并进行考核评价。</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第十六条  协调校园内外关系，为乙方创造应有的经营条件和环境，维护乙方合法权益。</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第十七条  协助乙方办理经营手续和做好相关服务工作;保证水、电、气（汽）等正常供应。</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第十八条  依照本合同“结算规定”，办理营业款项结算支付。</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0" w:firstLineChars="200"/>
        <w:jc w:val="center"/>
        <w:rPr>
          <w:rFonts w:ascii="黑体" w:hAnsi="Arial" w:eastAsia="黑体"/>
          <w:sz w:val="28"/>
        </w:rPr>
      </w:pPr>
      <w:r>
        <w:rPr>
          <w:rFonts w:hint="eastAsia" w:ascii="黑体" w:hAnsi="Arial" w:eastAsia="黑体"/>
          <w:sz w:val="28"/>
        </w:rPr>
        <w:t>五、乙方的权利和义务</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第十九条  依法享有经营标的物的使用权，自主经营、自负盈亏，自担风险；享有本合同“结算规定”中的营业款结算权。</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第二十条  依照《食品安全法》等法律法规和学校有关规定，建立健全规范完备的财务制度、用工制度、工作规范、安全防范、卫生保障、物资采购、质量监督、价格管理和文明服务等制度，以及食物中毒、火灾等重大事故应急预案，并抓好落实。</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制订的相关卫生管理条款及服务承诺应在用餐场所公示，接受用餐者监督。</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第二十一条  按规定到属地食品药品监督部门或卫生行政部门办理《餐饮服务许可证》，并按规定年检。</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第二十二条  按照《劳动合同法》自主聘用员工，保障员工合法权益。其从业人员必须持有《健康证》上岗，并按规定体检。</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第二十三条  积极配合、主动接受当地卫生行政部门、教育行政部门和学校的监督、指导和管理。</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第二十四条  按照学生食堂的经营规模，配齐配足相关的管理人员和技术人员，制订从业人员食品卫生知识培训计划，定期组织员工参加相关岗前及岗中培训，并对培训结果进行评价。从业人员应统一着装，挂牌上岗。</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 xml:space="preserve">第二十五条  </w:t>
      </w:r>
      <w:r>
        <w:rPr>
          <w:rFonts w:hint="eastAsia" w:ascii="仿宋_GB2312" w:hAnsi="宋体" w:eastAsia="仿宋_GB2312"/>
          <w:sz w:val="28"/>
        </w:rPr>
        <w:t>建立健全学生食堂消防安全制度，定期组织员工培训，规范操作和使用设备，</w:t>
      </w:r>
      <w:r>
        <w:rPr>
          <w:rFonts w:hint="eastAsia" w:ascii="仿宋_GB2312" w:hAnsi="Arial" w:eastAsia="仿宋_GB2312"/>
          <w:sz w:val="28"/>
        </w:rPr>
        <w:t>保证承租房屋和设备设施等标的物完好，对设备设施进行定期维护保养，</w:t>
      </w:r>
      <w:r>
        <w:rPr>
          <w:rFonts w:hint="eastAsia" w:ascii="仿宋_GB2312" w:hAnsi="宋体" w:eastAsia="仿宋_GB2312"/>
          <w:sz w:val="28"/>
        </w:rPr>
        <w:t>并做好厨房烟囱、排油烟管道的清洗工作，防止火灾事故发生。</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第二十六条  采购、存贮、加工和销售食品应符合有关要求。采购食品原材料，要索票索证，并建立管理台帐；销售食品要符合卫生规范，明码标价，所售食品成品按规定留样。</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第二十七条  向就餐者提供的餐饮器具必须按规定清洗、消毒和存放，并做好消毒记录。</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第二十八条  确保学生食堂主副食品正常供应及饭菜价格基本稳定。所供主食品种早餐不少于种，中餐不少于种，晚餐不少于种；中、晚餐副食品种供应不少于种，其高、中、低档菜肴比例为3：5：2，并有足量品质的低价菜和免费汤供应，以满足不同消费层次学生需求。假期中的供应保障应服从学校统一安排，做好学生餐饮的供应保障；学校放假停业和开学营业时间，按学校通知执行。</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jc w:val="center"/>
        <w:rPr>
          <w:rFonts w:ascii="黑体" w:hAnsi="Arial" w:eastAsia="黑体"/>
          <w:sz w:val="28"/>
        </w:rPr>
      </w:pPr>
      <w:r>
        <w:rPr>
          <w:rFonts w:hint="eastAsia" w:ascii="黑体" w:hAnsi="Arial" w:eastAsia="黑体"/>
          <w:sz w:val="28"/>
        </w:rPr>
        <w:t>六、合同的变更、中止、解除</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第二十九条  变更、中止或解除合同情形</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（一）乙方有以下情形，甲方有权变更、中止或解除合同</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1、未按相关法律法规建立相应管理制度或执行制度不力，被相关行政部门处罚且限期整改不力的；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2、经营期间，出现师生食物中毒，或安全生产责任事故，且造成严重后果的；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3、因食品价格波动、食品卫生安全和服务质量等而引起的就餐人员罢餐、静坐、聚众闹事等群发事件，影响恶劣的；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4、在经营过程中，存在掺杂使假，销售无证、过期食品、未按规定范围经营等违规行为，经学校规劝、限期整改无效且情节严重的；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5、在经营过程中有转包、分包经营行为的；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6、在学期中途无故停止营业的；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7、其它违规、违约行为的。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（二）甲方有以下情形，乙方有权变更、中止或解除合同</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1、无故停水、停电、停气（汽），给乙方造成较大经济损失的（因市政工程检修和校园工程检修等事前告知除外）；</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2、无故拖延、未按时办理营业款结算支付，逾期日的。</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（三）其它经双方协商一致的，可变更、中止或解除合同。</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第三十条  甲乙双方因不可抗拒的原因，使合同无法完全履行或者完全无法履行的，可以提前变更或解除合同。提前解除合同的，双方均不承担任何违约责任；变更合同的具体事项由双方协商解决。</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第三十一条  合同终止，甲乙双方应及时清点移交资产，结算帐目，乙方应于五日内无条件撤离。乙方经营期间自行添置的设备、器具等动产归乙方所有；乙方因满足其经营，对学生食堂进行装修、装饰等设施及其它不动产应无偿移交甲方（双方合同另有约定除外）。如乙方逾期仍有财物存放经营场所，甲方有权单方面对遗留财物予以处理。</w:t>
      </w:r>
    </w:p>
    <w:p>
      <w:pPr>
        <w:adjustRightInd w:val="0"/>
        <w:snapToGrid w:val="0"/>
        <w:spacing w:line="500" w:lineRule="exact"/>
        <w:ind w:firstLine="645"/>
        <w:jc w:val="center"/>
        <w:rPr>
          <w:rFonts w:ascii="黑体" w:hAnsi="Arial" w:eastAsia="黑体"/>
          <w:sz w:val="28"/>
        </w:rPr>
      </w:pPr>
    </w:p>
    <w:p>
      <w:pPr>
        <w:adjustRightInd w:val="0"/>
        <w:snapToGrid w:val="0"/>
        <w:spacing w:line="500" w:lineRule="exact"/>
        <w:jc w:val="center"/>
        <w:rPr>
          <w:rFonts w:ascii="黑体" w:hAnsi="Arial" w:eastAsia="黑体"/>
          <w:sz w:val="28"/>
        </w:rPr>
      </w:pPr>
      <w:r>
        <w:rPr>
          <w:rFonts w:hint="eastAsia" w:ascii="黑体" w:hAnsi="Arial" w:eastAsia="黑体"/>
          <w:sz w:val="28"/>
        </w:rPr>
        <w:t>七、违约责任</w:t>
      </w:r>
    </w:p>
    <w:p>
      <w:pPr>
        <w:adjustRightInd w:val="0"/>
        <w:snapToGrid w:val="0"/>
        <w:spacing w:line="500" w:lineRule="exact"/>
        <w:ind w:firstLine="645"/>
        <w:rPr>
          <w:rFonts w:ascii="仿宋_GB2312" w:hAnsi="Arial" w:eastAsia="仿宋_GB2312"/>
          <w:sz w:val="28"/>
        </w:rPr>
      </w:pP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第三十二条  甲方违反结算约定，不按时结算和办理营业款支付，从逾期之日起，按应付金额的‰按日向乙方支付违约金。</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第三十三条  甲方无故停水、停电、停气（汽），致使乙方无法正常营业，造成经济损失的，应向乙方予以赔偿。</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第三十四条  乙方违反消费交易方式，自行实施现金直接交易或收取现金不纳入财务管理的，甲方每次可处以200元以上-1000元以下罚款。</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第三十五条  乙方违反国家法律法规和相关管理规定，以及合同第二十九条（一）款（1-6项）的，除按规定承担相应的民事责任外，甲方可处1000元以上-10000元以下罚款。违犯刑律的，移交司法机关追究刑事责任。</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第三十六条  乙方不按规定管理、使用和维护标的物，造成标的物灭失或损坏的，按标的物原值赔偿或修复。</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第三十七条  甲方根据校方制定的《池州学院社会餐饮企业监督及奖惩管理办法》及《池州学院社会餐饮企业师生满意度测评实施办法（试行）》”对学校学生食堂实施日常监督管理。双方可据此制定相应处罚细则。</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第三十八条  违约金及处罚金，自责任确定起10日内扣除或支付。也可在双方当月结算时一并清算。</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645"/>
        <w:jc w:val="center"/>
        <w:rPr>
          <w:rFonts w:ascii="黑体" w:hAnsi="Arial" w:eastAsia="黑体"/>
          <w:sz w:val="28"/>
        </w:rPr>
      </w:pPr>
      <w:r>
        <w:rPr>
          <w:rFonts w:hint="eastAsia" w:ascii="黑体" w:hAnsi="Arial" w:eastAsia="黑体"/>
          <w:sz w:val="28"/>
        </w:rPr>
        <w:t>八、附   则</w:t>
      </w:r>
    </w:p>
    <w:p>
      <w:pPr>
        <w:adjustRightInd w:val="0"/>
        <w:snapToGrid w:val="0"/>
        <w:spacing w:line="500" w:lineRule="exact"/>
        <w:rPr>
          <w:rFonts w:ascii="仿宋_GB2312" w:hAnsi="Arial" w:eastAsia="仿宋_GB2312"/>
          <w:sz w:val="28"/>
        </w:rPr>
      </w:pP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第三十九条  本合同经双方签字盖章，并办理设备设施交接手续和乙方向甲方交纳合同履约保证金后生效。</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第四十条  本合同的附件与本合同具有同等的法律效力。</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第四十一条  未尽事宜，由双方协商解决，协商不成可向当地人民法院提起诉讼。</w:t>
      </w:r>
    </w:p>
    <w:p>
      <w:pPr>
        <w:adjustRightInd w:val="0"/>
        <w:snapToGrid w:val="0"/>
        <w:spacing w:line="500" w:lineRule="exact"/>
        <w:ind w:firstLine="560" w:firstLineChars="200"/>
        <w:rPr>
          <w:rFonts w:ascii="仿宋_GB2312" w:hAnsi="Arial" w:eastAsia="仿宋_GB2312"/>
          <w:sz w:val="28"/>
        </w:rPr>
      </w:pPr>
      <w:r>
        <w:rPr>
          <w:rFonts w:hint="eastAsia" w:ascii="仿宋_GB2312" w:hAnsi="Arial" w:eastAsia="仿宋_GB2312"/>
          <w:sz w:val="28"/>
        </w:rPr>
        <w:t>第四十二条  本合同及附件一式份</w:t>
      </w:r>
      <w:r>
        <w:rPr>
          <w:rFonts w:ascii="仿宋_GB2312" w:hAnsi="Arial" w:eastAsia="仿宋_GB2312"/>
          <w:sz w:val="28"/>
        </w:rPr>
        <w:t>,</w:t>
      </w:r>
      <w:r>
        <w:rPr>
          <w:rFonts w:hint="eastAsia" w:ascii="仿宋_GB2312" w:hAnsi="Arial" w:eastAsia="仿宋_GB2312"/>
          <w:sz w:val="28"/>
        </w:rPr>
        <w:t>甲乙双方各执份。</w:t>
      </w:r>
    </w:p>
    <w:p>
      <w:pPr>
        <w:adjustRightInd w:val="0"/>
        <w:snapToGrid w:val="0"/>
        <w:spacing w:line="500" w:lineRule="exact"/>
        <w:ind w:firstLine="560" w:firstLineChars="200"/>
        <w:rPr>
          <w:rFonts w:ascii="仿宋_GB2312" w:hAnsi="Arial" w:eastAsia="仿宋_GB2312"/>
          <w:sz w:val="28"/>
        </w:rPr>
      </w:pPr>
    </w:p>
    <w:p>
      <w:pPr>
        <w:adjustRightInd w:val="0"/>
        <w:snapToGrid w:val="0"/>
        <w:spacing w:line="500" w:lineRule="exact"/>
        <w:ind w:firstLine="562" w:firstLineChars="200"/>
        <w:rPr>
          <w:rFonts w:ascii="仿宋_GB2312" w:hAnsi="Arial" w:eastAsia="仿宋_GB2312"/>
          <w:b/>
          <w:bCs/>
          <w:sz w:val="28"/>
        </w:rPr>
      </w:pPr>
      <w:r>
        <w:rPr>
          <w:rFonts w:hint="eastAsia" w:ascii="仿宋_GB2312" w:hAnsi="Arial" w:eastAsia="仿宋_GB2312"/>
          <w:b/>
          <w:bCs/>
          <w:sz w:val="28"/>
        </w:rPr>
        <w:t>附件：</w:t>
      </w:r>
    </w:p>
    <w:p>
      <w:pPr>
        <w:adjustRightInd w:val="0"/>
        <w:snapToGrid w:val="0"/>
        <w:spacing w:line="500" w:lineRule="exact"/>
        <w:ind w:firstLine="562" w:firstLineChars="200"/>
        <w:rPr>
          <w:rFonts w:ascii="仿宋_GB2312" w:hAnsi="Arial" w:eastAsia="仿宋_GB2312"/>
          <w:b/>
          <w:bCs/>
          <w:sz w:val="28"/>
        </w:rPr>
      </w:pPr>
      <w:r>
        <w:rPr>
          <w:rFonts w:hint="eastAsia" w:ascii="仿宋_GB2312" w:hAnsi="Arial" w:eastAsia="仿宋_GB2312"/>
          <w:b/>
          <w:bCs/>
          <w:sz w:val="28"/>
        </w:rPr>
        <w:t>1、设备设施移交明细清单</w:t>
      </w:r>
    </w:p>
    <w:p>
      <w:pPr>
        <w:adjustRightInd w:val="0"/>
        <w:snapToGrid w:val="0"/>
        <w:spacing w:line="500" w:lineRule="exact"/>
        <w:ind w:firstLine="562" w:firstLineChars="200"/>
        <w:rPr>
          <w:rFonts w:ascii="仿宋_GB2312" w:hAnsi="Arial" w:eastAsia="仿宋_GB2312"/>
          <w:b/>
          <w:bCs/>
          <w:sz w:val="28"/>
        </w:rPr>
      </w:pPr>
      <w:r>
        <w:rPr>
          <w:rFonts w:hint="eastAsia" w:ascii="仿宋_GB2312" w:hAnsi="Arial" w:eastAsia="仿宋_GB2312"/>
          <w:b/>
          <w:bCs/>
          <w:sz w:val="28"/>
        </w:rPr>
        <w:t>2、《池州学院社会餐饮企业监督及奖惩管理办法》</w:t>
      </w:r>
    </w:p>
    <w:p>
      <w:pPr>
        <w:adjustRightInd w:val="0"/>
        <w:snapToGrid w:val="0"/>
        <w:spacing w:line="500" w:lineRule="exact"/>
        <w:ind w:firstLine="562" w:firstLineChars="200"/>
        <w:rPr>
          <w:rFonts w:ascii="仿宋_GB2312" w:hAnsi="Arial" w:eastAsia="仿宋_GB2312"/>
          <w:b/>
          <w:bCs/>
          <w:sz w:val="28"/>
        </w:rPr>
      </w:pPr>
      <w:r>
        <w:rPr>
          <w:rFonts w:hint="eastAsia" w:ascii="仿宋_GB2312" w:hAnsi="Arial" w:eastAsia="仿宋_GB2312"/>
          <w:b/>
          <w:bCs/>
          <w:sz w:val="28"/>
        </w:rPr>
        <w:t>3、《池州学院社会餐饮企业师生满意度测评实施办法（试行）》</w:t>
      </w:r>
    </w:p>
    <w:p>
      <w:pPr>
        <w:adjustRightInd w:val="0"/>
        <w:snapToGrid w:val="0"/>
        <w:spacing w:line="500" w:lineRule="exact"/>
        <w:rPr>
          <w:rFonts w:ascii="仿宋_GB2312" w:hAnsi="Arial" w:eastAsia="仿宋_GB2312"/>
          <w:sz w:val="28"/>
        </w:rPr>
      </w:pP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甲方(章)：                   乙方(章)：</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地    址：                   地    址：</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法定代表人：                 法定代表人：</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委托代理人：                 委托代理人：</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电    话：                   电    话：</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开户银行：                   开户银行：</w:t>
      </w:r>
    </w:p>
    <w:p>
      <w:pPr>
        <w:adjustRightInd w:val="0"/>
        <w:snapToGrid w:val="0"/>
        <w:spacing w:line="500" w:lineRule="exact"/>
        <w:ind w:firstLine="645"/>
        <w:rPr>
          <w:rFonts w:ascii="仿宋_GB2312" w:hAnsi="Arial" w:eastAsia="仿宋_GB2312"/>
          <w:sz w:val="28"/>
        </w:rPr>
      </w:pPr>
      <w:r>
        <w:rPr>
          <w:rFonts w:hint="eastAsia" w:ascii="仿宋_GB2312" w:hAnsi="Arial" w:eastAsia="仿宋_GB2312"/>
          <w:sz w:val="28"/>
        </w:rPr>
        <w:t>帐    号：                   帐    号：</w:t>
      </w:r>
    </w:p>
    <w:p>
      <w:pPr>
        <w:adjustRightInd w:val="0"/>
        <w:snapToGrid w:val="0"/>
        <w:spacing w:line="500" w:lineRule="exact"/>
        <w:ind w:firstLine="645"/>
        <w:rPr>
          <w:rFonts w:ascii="宋体" w:hAnsi="宋体" w:cs="宋体"/>
          <w:kern w:val="0"/>
          <w:sz w:val="24"/>
          <w:szCs w:val="24"/>
        </w:rPr>
      </w:pPr>
      <w:r>
        <w:rPr>
          <w:rFonts w:hint="eastAsia" w:ascii="仿宋_GB2312" w:hAnsi="Arial" w:eastAsia="仿宋_GB2312"/>
          <w:sz w:val="28"/>
        </w:rPr>
        <w:t xml:space="preserve">     年   月   日               年  月  日</w:t>
      </w:r>
    </w:p>
    <w:p>
      <w:pPr>
        <w:widowControl/>
        <w:spacing w:before="100" w:beforeAutospacing="1" w:after="100" w:afterAutospacing="1" w:line="0" w:lineRule="atLeast"/>
        <w:ind w:firstLine="480" w:firstLineChars="200"/>
        <w:jc w:val="left"/>
        <w:rPr>
          <w:rFonts w:ascii="宋体" w:hAnsi="宋体" w:cs="宋体"/>
          <w:kern w:val="0"/>
          <w:sz w:val="24"/>
          <w:szCs w:val="24"/>
        </w:rPr>
        <w:sectPr>
          <w:headerReference r:id="rId5" w:type="first"/>
          <w:headerReference r:id="rId3" w:type="default"/>
          <w:footerReference r:id="rId6" w:type="default"/>
          <w:headerReference r:id="rId4" w:type="even"/>
          <w:pgSz w:w="11907" w:h="16840"/>
          <w:pgMar w:top="1440" w:right="1247" w:bottom="1440" w:left="1247" w:header="851" w:footer="992" w:gutter="0"/>
          <w:pgNumType w:start="1"/>
          <w:cols w:space="720" w:num="1"/>
          <w:docGrid w:linePitch="303" w:charSpace="0"/>
        </w:sectPr>
      </w:pPr>
    </w:p>
    <w:bookmarkEnd w:id="11"/>
    <w:bookmarkEnd w:id="13"/>
    <w:p>
      <w:pPr>
        <w:pStyle w:val="3"/>
        <w:spacing w:line="0" w:lineRule="atLeast"/>
        <w:rPr>
          <w:rFonts w:eastAsia="宋体" w:cs="Arial"/>
        </w:rPr>
      </w:pPr>
      <w:bookmarkStart w:id="14" w:name="_Toc20343"/>
      <w:r>
        <w:rPr>
          <w:rFonts w:eastAsia="宋体" w:cs="Arial"/>
          <w:szCs w:val="36"/>
        </w:rPr>
        <w:t>采购需求</w:t>
      </w:r>
      <w:bookmarkEnd w:id="12"/>
      <w:bookmarkEnd w:id="14"/>
    </w:p>
    <w:p>
      <w:pPr>
        <w:spacing w:line="0" w:lineRule="atLeast"/>
        <w:rPr>
          <w:rFonts w:ascii="Arial" w:hAnsi="Arial" w:cs="Arial"/>
          <w:sz w:val="24"/>
          <w:szCs w:val="28"/>
        </w:rPr>
      </w:pPr>
      <w:bookmarkStart w:id="15" w:name="_Hlt509716920"/>
      <w:bookmarkEnd w:id="15"/>
      <w:r>
        <w:rPr>
          <w:rFonts w:ascii="Arial" w:hAnsi="Arial" w:cs="Arial"/>
          <w:sz w:val="24"/>
          <w:szCs w:val="28"/>
        </w:rPr>
        <w:t>前注：</w:t>
      </w:r>
    </w:p>
    <w:p>
      <w:pPr>
        <w:ind w:firstLine="480" w:firstLineChars="200"/>
        <w:rPr>
          <w:sz w:val="24"/>
        </w:rPr>
      </w:pPr>
      <w:r>
        <w:rPr>
          <w:rFonts w:hint="eastAsia"/>
          <w:sz w:val="24"/>
        </w:rPr>
        <w:t>如对本招标文件有任何疑问或澄清要求，请按本招标文件“供应商须知前附表”中约定方式联系采购人或安徽鼎信项目管理股份有限公司，或接受答疑截止时间前联系采购人，否则视同理解和接受，开标后采购人或安徽鼎信项目管理股份有限公司不再受理对招标文件条款提出的质疑。</w:t>
      </w:r>
    </w:p>
    <w:p>
      <w:pPr>
        <w:rPr>
          <w:sz w:val="24"/>
        </w:rPr>
      </w:pPr>
    </w:p>
    <w:p>
      <w:pPr>
        <w:rPr>
          <w:rFonts w:cs="Arial" w:asciiTheme="minorEastAsia" w:hAnsiTheme="minorEastAsia" w:eastAsiaTheme="minorEastAsia"/>
          <w:b/>
          <w:bCs/>
          <w:sz w:val="28"/>
          <w:szCs w:val="28"/>
        </w:rPr>
      </w:pPr>
    </w:p>
    <w:p>
      <w:pPr>
        <w:spacing w:line="360" w:lineRule="auto"/>
        <w:rPr>
          <w:rFonts w:ascii="宋体" w:hAnsi="宋体" w:cs="黑体"/>
          <w:b/>
          <w:sz w:val="24"/>
          <w:szCs w:val="24"/>
        </w:rPr>
      </w:pPr>
      <w:r>
        <w:rPr>
          <w:rFonts w:hint="eastAsia" w:ascii="宋体" w:hAnsi="宋体" w:cs="黑体"/>
          <w:b/>
          <w:sz w:val="24"/>
          <w:szCs w:val="24"/>
        </w:rPr>
        <w:t>一、项目概况</w:t>
      </w:r>
    </w:p>
    <w:p>
      <w:pPr>
        <w:adjustRightInd w:val="0"/>
        <w:snapToGrid w:val="0"/>
        <w:spacing w:line="360" w:lineRule="auto"/>
        <w:ind w:firstLine="480" w:firstLineChars="200"/>
        <w:rPr>
          <w:b/>
          <w:bCs/>
          <w:sz w:val="24"/>
        </w:rPr>
      </w:pPr>
      <w:r>
        <w:rPr>
          <w:rFonts w:hint="eastAsia"/>
          <w:sz w:val="24"/>
        </w:rPr>
        <w:t>池州学院位于安徽省池州市境内，</w:t>
      </w:r>
      <w:r>
        <w:rPr>
          <w:rFonts w:hint="eastAsia" w:ascii="宋体" w:hAnsi="宋体" w:cs="宋体"/>
          <w:sz w:val="24"/>
          <w:szCs w:val="24"/>
        </w:rPr>
        <w:t>是一所全日制二本院校，在校生规模约15000人</w:t>
      </w:r>
      <w:r>
        <w:rPr>
          <w:rFonts w:hint="eastAsia"/>
          <w:sz w:val="24"/>
        </w:rPr>
        <w:t>。</w:t>
      </w:r>
      <w:r>
        <w:rPr>
          <w:rFonts w:hint="eastAsia" w:ascii="宋体" w:hAnsi="宋体" w:cs="宋体"/>
          <w:sz w:val="24"/>
          <w:szCs w:val="24"/>
        </w:rPr>
        <w:t>学校现有四个食堂,本次招标将四个食堂分为四个包进行公开招标。</w:t>
      </w:r>
      <w:r>
        <w:rPr>
          <w:rFonts w:hint="eastAsia" w:ascii="宋体" w:hAnsi="宋体" w:cs="宋体"/>
          <w:sz w:val="24"/>
          <w:szCs w:val="18"/>
        </w:rPr>
        <w:t>供应商选择一个或多个包进行投标，并且最多可以作为其中一个包的第一中标候选人。例如投标供应商为第一包的第一中标候选人，可以参与后续包件的投标和评审，但不得作为后续包的中标候选人，以此类推。本项目评标、定标按1、2、3、4包的顺序进行。</w:t>
      </w:r>
    </w:p>
    <w:p>
      <w:pPr>
        <w:spacing w:line="360" w:lineRule="auto"/>
        <w:ind w:firstLine="480" w:firstLineChars="200"/>
        <w:rPr>
          <w:rFonts w:ascii="宋体" w:hAnsi="宋体" w:cs="宋体"/>
          <w:sz w:val="24"/>
          <w:szCs w:val="24"/>
        </w:rPr>
      </w:pPr>
      <w:r>
        <w:rPr>
          <w:rFonts w:hint="eastAsia" w:ascii="宋体" w:hAnsi="宋体" w:cs="宋体"/>
          <w:sz w:val="24"/>
          <w:szCs w:val="24"/>
        </w:rPr>
        <w:t>第一包为一食堂，位于女生7号宿舍楼南面食堂第一层，前后场面积约2903平米，前厅面积1866平米，餐厅座位数1000个。</w:t>
      </w:r>
    </w:p>
    <w:p>
      <w:pPr>
        <w:spacing w:line="360" w:lineRule="auto"/>
        <w:ind w:firstLine="480" w:firstLineChars="200"/>
        <w:rPr>
          <w:rFonts w:ascii="宋体" w:hAnsi="宋体" w:cs="宋体"/>
          <w:sz w:val="24"/>
          <w:szCs w:val="24"/>
        </w:rPr>
      </w:pPr>
      <w:r>
        <w:rPr>
          <w:rFonts w:hint="eastAsia" w:ascii="宋体" w:hAnsi="宋体" w:cs="宋体"/>
          <w:sz w:val="24"/>
          <w:szCs w:val="24"/>
        </w:rPr>
        <w:t>第二包为二食堂，位于女生7号宿舍楼南面食堂第二层，内部清真窗口位于西南角。前后场面积约2903平米，前厅面积1866平米，餐厅座位数1000个。</w:t>
      </w:r>
    </w:p>
    <w:p>
      <w:pPr>
        <w:spacing w:line="360" w:lineRule="auto"/>
        <w:ind w:firstLine="480" w:firstLineChars="200"/>
        <w:rPr>
          <w:rFonts w:ascii="宋体" w:hAnsi="宋体" w:cs="宋体"/>
          <w:sz w:val="24"/>
          <w:szCs w:val="24"/>
        </w:rPr>
      </w:pPr>
      <w:r>
        <w:rPr>
          <w:rFonts w:hint="eastAsia" w:ascii="宋体" w:hAnsi="宋体" w:cs="宋体"/>
          <w:sz w:val="24"/>
          <w:szCs w:val="24"/>
        </w:rPr>
        <w:t>第三包为三食堂，位于女生14号宿舍楼南面食堂第一层的学生食堂和第三层的教工食堂，其中第一层前后场面积约2217平米，前厅面积1284平米，餐厅座位数800个；第三层面积约2000平米，主要提供桌饭和教工就餐，有五个包厢和一个教工就餐大厅（可同时容纳200人左右就餐）；</w:t>
      </w:r>
    </w:p>
    <w:p>
      <w:pPr>
        <w:spacing w:line="360" w:lineRule="auto"/>
        <w:ind w:firstLine="480" w:firstLineChars="200"/>
        <w:rPr>
          <w:rFonts w:ascii="宋体" w:hAnsi="宋体" w:cs="宋体"/>
          <w:sz w:val="24"/>
          <w:szCs w:val="24"/>
        </w:rPr>
      </w:pPr>
      <w:r>
        <w:rPr>
          <w:rFonts w:hint="eastAsia" w:ascii="宋体" w:hAnsi="宋体" w:cs="宋体"/>
          <w:sz w:val="24"/>
          <w:szCs w:val="24"/>
        </w:rPr>
        <w:t>第四包为四食堂，位于女生14号宿舍楼南面食堂第二层，前后场面积约1988平米，前厅面积1058平米，餐厅座位数620个。</w:t>
      </w:r>
    </w:p>
    <w:p>
      <w:pPr>
        <w:adjustRightInd w:val="0"/>
        <w:snapToGrid w:val="0"/>
        <w:spacing w:line="360" w:lineRule="auto"/>
        <w:ind w:firstLine="480" w:firstLineChars="200"/>
        <w:rPr>
          <w:sz w:val="24"/>
        </w:rPr>
      </w:pPr>
      <w:r>
        <w:rPr>
          <w:rFonts w:hint="eastAsia"/>
          <w:sz w:val="24"/>
        </w:rPr>
        <w:t>每个食堂配备了主要炊具设备、餐桌、校园卡消费结算终端机等，中标供应商因经营需要添加或更换现有设备，费用自理，且不得破坏食堂现有格局。服务期满后，中标供应商须确保将原有设备完好的交付给学校。</w:t>
      </w:r>
    </w:p>
    <w:p>
      <w:pPr>
        <w:adjustRightInd w:val="0"/>
        <w:snapToGrid w:val="0"/>
        <w:spacing w:line="360" w:lineRule="auto"/>
        <w:ind w:firstLine="480" w:firstLineChars="200"/>
        <w:rPr>
          <w:sz w:val="24"/>
        </w:rPr>
      </w:pPr>
      <w:r>
        <w:rPr>
          <w:rFonts w:hint="eastAsia"/>
          <w:sz w:val="24"/>
        </w:rPr>
        <w:t>供应商应实地踏勘现场，以获取编制投标文件时所需资料。供应商根据自身经营情况合理报价，采购人对投标供应商由此而做出的任何推论和结论概不负责。</w:t>
      </w:r>
    </w:p>
    <w:p>
      <w:pPr>
        <w:spacing w:line="360" w:lineRule="auto"/>
        <w:rPr>
          <w:rFonts w:ascii="宋体" w:hAnsi="宋体" w:cs="宋体"/>
          <w:b/>
          <w:bCs/>
          <w:sz w:val="24"/>
          <w:szCs w:val="24"/>
        </w:rPr>
      </w:pPr>
    </w:p>
    <w:p>
      <w:pPr>
        <w:spacing w:line="360" w:lineRule="auto"/>
        <w:rPr>
          <w:rFonts w:ascii="宋体" w:hAnsi="宋体" w:cs="宋体"/>
          <w:b/>
          <w:bCs/>
          <w:sz w:val="24"/>
          <w:szCs w:val="24"/>
        </w:rPr>
      </w:pPr>
      <w:r>
        <w:rPr>
          <w:rFonts w:hint="eastAsia" w:ascii="宋体" w:hAnsi="宋体" w:cs="宋体"/>
          <w:b/>
          <w:bCs/>
          <w:sz w:val="24"/>
          <w:szCs w:val="24"/>
        </w:rPr>
        <w:t>二、相关费用</w:t>
      </w:r>
    </w:p>
    <w:p>
      <w:pPr>
        <w:spacing w:line="360" w:lineRule="auto"/>
        <w:ind w:firstLine="480" w:firstLineChars="200"/>
        <w:rPr>
          <w:rFonts w:ascii="宋体" w:hAnsi="宋体" w:cs="宋体"/>
          <w:sz w:val="24"/>
          <w:szCs w:val="24"/>
        </w:rPr>
      </w:pPr>
      <w:r>
        <w:rPr>
          <w:rFonts w:hint="eastAsia" w:ascii="宋体" w:hAnsi="宋体" w:cs="宋体"/>
          <w:sz w:val="24"/>
          <w:szCs w:val="24"/>
        </w:rPr>
        <w:t>1、根据教发〔2011〕7号文件精神，我校食堂经营实行“零租赁”，免收管理费。</w:t>
      </w:r>
    </w:p>
    <w:p>
      <w:pPr>
        <w:spacing w:line="360" w:lineRule="auto"/>
        <w:ind w:firstLine="480" w:firstLineChars="200"/>
        <w:rPr>
          <w:rFonts w:ascii="宋体" w:hAnsi="宋体" w:cs="宋体"/>
          <w:sz w:val="24"/>
          <w:szCs w:val="24"/>
        </w:rPr>
      </w:pPr>
      <w:r>
        <w:rPr>
          <w:rFonts w:hint="eastAsia" w:ascii="宋体" w:hAnsi="宋体" w:cs="宋体"/>
          <w:sz w:val="24"/>
          <w:szCs w:val="24"/>
        </w:rPr>
        <w:t>2、中标供应商须按照招标文件约定向采购人缴纳履约保证金，履约保证金在合同履约期结束后扣除罚款或违约金（如有）后无息退还。</w:t>
      </w:r>
    </w:p>
    <w:p>
      <w:pPr>
        <w:spacing w:line="360" w:lineRule="auto"/>
        <w:ind w:firstLine="480" w:firstLineChars="200"/>
        <w:rPr>
          <w:rFonts w:ascii="宋体" w:hAnsi="宋体" w:cs="宋体"/>
          <w:sz w:val="24"/>
          <w:szCs w:val="24"/>
        </w:rPr>
      </w:pPr>
      <w:r>
        <w:rPr>
          <w:rFonts w:hint="eastAsia" w:ascii="宋体" w:hAnsi="宋体" w:cs="宋体"/>
          <w:sz w:val="24"/>
          <w:szCs w:val="24"/>
        </w:rPr>
        <w:t>3、中标供应商须根据《中华人民共和国食品安全法》等法律法规的相关政策精神，购买食品安全责任保险。</w:t>
      </w:r>
    </w:p>
    <w:p>
      <w:pPr>
        <w:spacing w:line="360" w:lineRule="auto"/>
        <w:ind w:firstLine="480" w:firstLineChars="200"/>
        <w:rPr>
          <w:rFonts w:ascii="宋体" w:hAnsi="宋体" w:cs="宋体"/>
          <w:sz w:val="24"/>
          <w:szCs w:val="24"/>
        </w:rPr>
      </w:pPr>
      <w:r>
        <w:rPr>
          <w:rFonts w:hint="eastAsia" w:ascii="宋体" w:hAnsi="宋体" w:cs="宋体"/>
          <w:sz w:val="24"/>
          <w:szCs w:val="24"/>
        </w:rPr>
        <w:t>4、中标供应商经营所产生的水、电费用按表计量，按照居民用水用电价格由归口管理部门在每月营业额费用结算中代扣；燃气费用由中标供应商自行预购使用；垃圾处理费用按照500元/月在每月营业额费用结算中代扣。</w:t>
      </w:r>
    </w:p>
    <w:p>
      <w:pPr>
        <w:spacing w:line="360" w:lineRule="auto"/>
        <w:ind w:firstLine="480" w:firstLineChars="200"/>
        <w:rPr>
          <w:rFonts w:ascii="宋体" w:hAnsi="宋体" w:cs="宋体"/>
          <w:color w:val="0909F5"/>
          <w:sz w:val="24"/>
          <w:szCs w:val="24"/>
        </w:rPr>
      </w:pPr>
      <w:r>
        <w:rPr>
          <w:rFonts w:hint="eastAsia" w:ascii="宋体" w:hAnsi="宋体" w:cs="宋体"/>
          <w:color w:val="0909F5"/>
          <w:sz w:val="24"/>
          <w:szCs w:val="24"/>
        </w:rPr>
        <w:t>5、各食堂内经营活动须无条件服从校方有关部门的管理。</w:t>
      </w:r>
    </w:p>
    <w:p>
      <w:pPr>
        <w:spacing w:line="360" w:lineRule="auto"/>
        <w:ind w:firstLine="480" w:firstLineChars="200"/>
        <w:rPr>
          <w:rFonts w:ascii="宋体" w:hAnsi="宋体" w:cs="宋体"/>
          <w:sz w:val="24"/>
          <w:szCs w:val="24"/>
        </w:rPr>
      </w:pPr>
      <w:r>
        <w:rPr>
          <w:rFonts w:hint="eastAsia" w:ascii="宋体" w:hAnsi="宋体" w:cs="宋体"/>
          <w:sz w:val="24"/>
          <w:szCs w:val="24"/>
        </w:rPr>
        <w:t>6、投标供应商须承诺中标后将根据营业额按照</w:t>
      </w:r>
      <w:r>
        <w:rPr>
          <w:rFonts w:hint="eastAsia" w:ascii="宋体" w:hAnsi="宋体" w:cs="宋体"/>
          <w:color w:val="0909F5"/>
          <w:sz w:val="24"/>
          <w:szCs w:val="24"/>
        </w:rPr>
        <w:t>一定的百分比（最高不超过5%）</w:t>
      </w:r>
      <w:r>
        <w:rPr>
          <w:rFonts w:hint="eastAsia" w:ascii="宋体" w:hAnsi="宋体" w:cs="宋体"/>
          <w:sz w:val="24"/>
          <w:szCs w:val="24"/>
        </w:rPr>
        <w:t>提取设立捐献基金（教工食堂教职工刷卡2元部分不予提取）。捐献基金50%用于月度和年度考评奖励，20%用于贫困学生资助，30%用于改善就餐环境、食堂公共设施维修。同时各食堂营业额因地理位置不同，其保底经营额度不同，其中一食堂月营业额为70万元人民币；二食堂为50万元；三食堂（一楼学生食堂）为50万元；四食堂为30万元。</w:t>
      </w:r>
    </w:p>
    <w:p>
      <w:pPr>
        <w:spacing w:line="360" w:lineRule="auto"/>
        <w:ind w:firstLine="480" w:firstLineChars="200"/>
        <w:rPr>
          <w:rFonts w:ascii="宋体" w:hAnsi="宋体" w:cs="宋体"/>
          <w:sz w:val="24"/>
          <w:szCs w:val="24"/>
        </w:rPr>
      </w:pPr>
      <w:r>
        <w:rPr>
          <w:rFonts w:hint="eastAsia" w:ascii="宋体" w:hAnsi="宋体" w:cs="宋体"/>
          <w:sz w:val="24"/>
          <w:szCs w:val="24"/>
        </w:rPr>
        <w:t>7、为鼓励竞争，更好地创建特色餐饮，对达不到保底经营额度的食堂将依照保底经营额度按月提取捐献基金。</w:t>
      </w:r>
    </w:p>
    <w:p>
      <w:pPr>
        <w:spacing w:line="360" w:lineRule="auto"/>
        <w:ind w:firstLine="480" w:firstLineChars="200"/>
        <w:rPr>
          <w:rFonts w:ascii="宋体" w:hAnsi="宋体" w:cs="宋体"/>
          <w:sz w:val="24"/>
          <w:szCs w:val="24"/>
        </w:rPr>
      </w:pPr>
      <w:r>
        <w:rPr>
          <w:rFonts w:hint="eastAsia" w:ascii="宋体" w:hAnsi="宋体" w:cs="宋体"/>
          <w:sz w:val="24"/>
          <w:szCs w:val="24"/>
        </w:rPr>
        <w:t>8、投标供应商须承诺中标后在规定时间内通过池州市或贵池区食品药品监督管理部门颁发认定的“餐饮服务食品安全A级”食堂。在承诺时间内，如未完成创建A级食堂，采购人将从其履约保证金中扣除人民币20万元，列入上述捐献基金统一管理使用。</w:t>
      </w:r>
    </w:p>
    <w:p>
      <w:pPr>
        <w:spacing w:line="360" w:lineRule="auto"/>
        <w:ind w:firstLine="480" w:firstLineChars="200"/>
        <w:rPr>
          <w:rFonts w:ascii="宋体" w:hAnsi="宋体" w:cs="宋体"/>
          <w:sz w:val="24"/>
          <w:szCs w:val="24"/>
        </w:rPr>
      </w:pPr>
      <w:r>
        <w:rPr>
          <w:rFonts w:hint="eastAsia" w:ascii="宋体" w:hAnsi="宋体" w:cs="宋体"/>
          <w:sz w:val="24"/>
          <w:szCs w:val="24"/>
        </w:rPr>
        <w:t>9、归口管理部门日常监管中依据相关制度做出的扣罚金将纳入捐献基金统一管理使用。</w:t>
      </w:r>
    </w:p>
    <w:p>
      <w:pPr>
        <w:spacing w:line="360" w:lineRule="auto"/>
        <w:rPr>
          <w:rFonts w:ascii="宋体" w:hAnsi="宋体" w:cs="宋体"/>
          <w:b/>
          <w:bCs/>
          <w:sz w:val="24"/>
          <w:szCs w:val="24"/>
        </w:rPr>
      </w:pPr>
    </w:p>
    <w:p>
      <w:pPr>
        <w:spacing w:line="360" w:lineRule="auto"/>
        <w:rPr>
          <w:rFonts w:ascii="宋体" w:hAnsi="宋体" w:cs="宋体"/>
          <w:b/>
          <w:bCs/>
          <w:sz w:val="24"/>
          <w:szCs w:val="24"/>
        </w:rPr>
      </w:pPr>
      <w:r>
        <w:rPr>
          <w:rFonts w:hint="eastAsia" w:ascii="宋体" w:hAnsi="宋体" w:cs="宋体"/>
          <w:b/>
          <w:bCs/>
          <w:sz w:val="24"/>
          <w:szCs w:val="24"/>
        </w:rPr>
        <w:t>三、食堂管理要求</w:t>
      </w:r>
    </w:p>
    <w:p>
      <w:pPr>
        <w:spacing w:line="360" w:lineRule="auto"/>
        <w:ind w:firstLine="480" w:firstLineChars="200"/>
        <w:rPr>
          <w:rFonts w:ascii="宋体" w:hAnsi="宋体" w:cs="宋体"/>
          <w:sz w:val="24"/>
          <w:szCs w:val="24"/>
        </w:rPr>
      </w:pPr>
      <w:r>
        <w:rPr>
          <w:rFonts w:hint="eastAsia" w:ascii="宋体" w:hAnsi="宋体" w:cs="宋体"/>
          <w:sz w:val="24"/>
          <w:szCs w:val="24"/>
        </w:rPr>
        <w:t>1、池州学院学校饮食保障工作是重中之重，中标供应商在经营管理餐饮服务中自主经营，自负盈亏。</w:t>
      </w:r>
    </w:p>
    <w:p>
      <w:pPr>
        <w:spacing w:line="360" w:lineRule="auto"/>
        <w:ind w:firstLine="480" w:firstLineChars="200"/>
        <w:rPr>
          <w:rFonts w:ascii="宋体" w:hAnsi="宋体" w:cs="宋体"/>
          <w:sz w:val="24"/>
          <w:szCs w:val="24"/>
        </w:rPr>
      </w:pPr>
      <w:r>
        <w:rPr>
          <w:rFonts w:hint="eastAsia" w:ascii="宋体" w:hAnsi="宋体" w:cs="宋体"/>
          <w:sz w:val="24"/>
          <w:szCs w:val="24"/>
        </w:rPr>
        <w:t>2、采购人对中标供应商组建的餐饮服务机构进行业务归口管理，同时遵守相关国家和地方的食品法律法规及池州学院相关制度。</w:t>
      </w:r>
    </w:p>
    <w:p>
      <w:pPr>
        <w:spacing w:line="360" w:lineRule="auto"/>
        <w:ind w:firstLine="480" w:firstLineChars="200"/>
        <w:rPr>
          <w:rFonts w:ascii="宋体" w:hAnsi="宋体" w:cs="宋体"/>
          <w:sz w:val="24"/>
          <w:szCs w:val="24"/>
        </w:rPr>
      </w:pPr>
      <w:r>
        <w:rPr>
          <w:rFonts w:hint="eastAsia" w:ascii="宋体" w:hAnsi="宋体" w:cs="宋体"/>
          <w:sz w:val="24"/>
          <w:szCs w:val="24"/>
        </w:rPr>
        <w:t>3、中标供应商应确保所录用人员政治过硬，无犯罪记录，身体健康，持有上岗证。池州学院后勤管理与基建处对中标供应商所委托的具有考核监督权。</w:t>
      </w:r>
    </w:p>
    <w:p>
      <w:pPr>
        <w:spacing w:line="360" w:lineRule="auto"/>
        <w:ind w:firstLine="480" w:firstLineChars="200"/>
        <w:rPr>
          <w:rFonts w:ascii="宋体" w:hAnsi="宋体" w:cs="宋体"/>
          <w:sz w:val="24"/>
          <w:szCs w:val="24"/>
        </w:rPr>
      </w:pPr>
      <w:r>
        <w:rPr>
          <w:rFonts w:hint="eastAsia" w:ascii="宋体" w:hAnsi="宋体" w:cs="宋体"/>
          <w:sz w:val="24"/>
          <w:szCs w:val="24"/>
        </w:rPr>
        <w:t>中标供应商对投标文件指定的食堂项目经理应书面授权，合同签订前提交授权文件原件。食堂项目经理应常驻学校负责本项目直至合同期满。确因合理理由需要更换食堂经理的，应事先书面征得学校后勤管理部门同意后方可调整，但不得在学期中途更换。</w:t>
      </w:r>
    </w:p>
    <w:p>
      <w:pPr>
        <w:spacing w:line="360" w:lineRule="auto"/>
        <w:ind w:firstLine="480" w:firstLineChars="200"/>
        <w:rPr>
          <w:rFonts w:ascii="宋体" w:hAnsi="宋体" w:cs="宋体"/>
          <w:sz w:val="24"/>
          <w:szCs w:val="24"/>
        </w:rPr>
      </w:pPr>
      <w:r>
        <w:rPr>
          <w:rFonts w:hint="eastAsia" w:ascii="宋体" w:hAnsi="宋体" w:cs="宋体"/>
          <w:sz w:val="24"/>
          <w:szCs w:val="24"/>
        </w:rPr>
        <w:t>4、中标供应商要有应急处理突发事件的具体措施，在出现紧急情况，餐饮管理部门对中标企业的人员具有直接指挥权。</w:t>
      </w:r>
    </w:p>
    <w:p>
      <w:pPr>
        <w:spacing w:line="360" w:lineRule="auto"/>
        <w:ind w:firstLine="480" w:firstLineChars="200"/>
        <w:rPr>
          <w:rFonts w:ascii="宋体" w:hAnsi="宋体" w:cs="宋体"/>
          <w:sz w:val="24"/>
          <w:szCs w:val="24"/>
        </w:rPr>
      </w:pPr>
      <w:r>
        <w:rPr>
          <w:rFonts w:hint="eastAsia" w:ascii="宋体" w:hAnsi="宋体" w:cs="宋体"/>
          <w:sz w:val="24"/>
          <w:szCs w:val="24"/>
        </w:rPr>
        <w:t>5、中标供应商进场服务，所有人员须统一着装，言行规范，要注意仪容仪表，树立企业形象。</w:t>
      </w:r>
    </w:p>
    <w:p>
      <w:pPr>
        <w:spacing w:line="360" w:lineRule="auto"/>
        <w:ind w:firstLine="480" w:firstLineChars="200"/>
        <w:rPr>
          <w:rFonts w:ascii="宋体" w:hAnsi="宋体" w:cs="宋体"/>
          <w:sz w:val="24"/>
          <w:szCs w:val="24"/>
        </w:rPr>
      </w:pPr>
      <w:r>
        <w:rPr>
          <w:rFonts w:hint="eastAsia" w:ascii="宋体" w:hAnsi="宋体" w:cs="宋体"/>
          <w:sz w:val="24"/>
          <w:szCs w:val="24"/>
        </w:rPr>
        <w:t>6、中标供应商在餐饮服务保障中，要有环保及资源节约具体措施，不得使用非降解饭盒、一次性筷子等产品。</w:t>
      </w:r>
    </w:p>
    <w:p>
      <w:pPr>
        <w:spacing w:line="360" w:lineRule="auto"/>
        <w:ind w:firstLine="480" w:firstLineChars="200"/>
        <w:rPr>
          <w:rFonts w:ascii="宋体" w:hAnsi="宋体" w:cs="宋体"/>
          <w:sz w:val="24"/>
          <w:szCs w:val="24"/>
        </w:rPr>
      </w:pPr>
      <w:r>
        <w:rPr>
          <w:rFonts w:hint="eastAsia" w:ascii="宋体" w:hAnsi="宋体" w:cs="宋体"/>
          <w:sz w:val="24"/>
          <w:szCs w:val="24"/>
        </w:rPr>
        <w:t>7、中标供应商应依照投标文件及签约合同要求，承诺打造特色“主题餐厅”，创建独特饮食文化，提供特色饮食。</w:t>
      </w:r>
    </w:p>
    <w:p>
      <w:pPr>
        <w:spacing w:line="360" w:lineRule="auto"/>
        <w:ind w:firstLine="480" w:firstLineChars="200"/>
        <w:rPr>
          <w:rFonts w:ascii="宋体" w:hAnsi="宋体" w:cs="宋体"/>
          <w:sz w:val="24"/>
          <w:szCs w:val="24"/>
        </w:rPr>
      </w:pPr>
      <w:r>
        <w:rPr>
          <w:rFonts w:hint="eastAsia" w:ascii="宋体" w:hAnsi="宋体" w:cs="宋体"/>
          <w:sz w:val="24"/>
          <w:szCs w:val="24"/>
        </w:rPr>
        <w:t>8、中标供应商在经营管理中应采用“6T”管理模式，即天天处理，天天整合，天天清扫，天天规范，天天检查，天天改进。</w:t>
      </w:r>
    </w:p>
    <w:p>
      <w:pPr>
        <w:spacing w:line="360" w:lineRule="auto"/>
        <w:ind w:firstLine="480" w:firstLineChars="200"/>
        <w:rPr>
          <w:rFonts w:ascii="宋体" w:hAnsi="宋体" w:cs="宋体"/>
          <w:sz w:val="24"/>
          <w:szCs w:val="24"/>
        </w:rPr>
      </w:pPr>
      <w:r>
        <w:rPr>
          <w:rFonts w:hint="eastAsia" w:ascii="宋体" w:hAnsi="宋体" w:cs="宋体"/>
          <w:sz w:val="24"/>
          <w:szCs w:val="24"/>
        </w:rPr>
        <w:t>9、中标供应商在特色窗口经营中应响应党和政府号召，尽可能开放精准扶贫窗口。</w:t>
      </w:r>
    </w:p>
    <w:p>
      <w:pPr>
        <w:spacing w:line="360" w:lineRule="auto"/>
        <w:ind w:firstLine="480" w:firstLineChars="200"/>
        <w:rPr>
          <w:rFonts w:ascii="宋体" w:hAnsi="宋体" w:cs="宋体"/>
          <w:sz w:val="24"/>
          <w:szCs w:val="24"/>
        </w:rPr>
      </w:pPr>
      <w:r>
        <w:rPr>
          <w:rFonts w:hint="eastAsia" w:ascii="宋体" w:hAnsi="宋体" w:cs="宋体"/>
          <w:sz w:val="24"/>
          <w:szCs w:val="24"/>
        </w:rPr>
        <w:t>10、中标供应商在保证大伙供应的基础上，引入特色窗口的，应避免产生合同纠纷，否则当月考核酌情扣分。</w:t>
      </w:r>
    </w:p>
    <w:p>
      <w:pPr>
        <w:spacing w:line="360" w:lineRule="auto"/>
        <w:ind w:firstLine="480" w:firstLineChars="200"/>
        <w:rPr>
          <w:rFonts w:ascii="宋体" w:hAnsi="宋体" w:cs="宋体"/>
          <w:sz w:val="24"/>
          <w:szCs w:val="24"/>
        </w:rPr>
      </w:pPr>
      <w:r>
        <w:rPr>
          <w:rFonts w:hint="eastAsia" w:ascii="宋体" w:hAnsi="宋体" w:cs="宋体"/>
          <w:sz w:val="24"/>
          <w:szCs w:val="24"/>
        </w:rPr>
        <w:t>11、校方负责所有固定资产（列清单）按现状移交给中标供应商使用和管理，中标供应商接手后一周内若发现设备设施存在故障或隐患，可申请校方予以维修，此后的使用过程中发生的机械、电器及餐桌椅的维护保养由中标供应商负责。中标供应商经营期满后，应及时按移交清单完好地归还给校方，如有损坏由中标供应商负责维修或按价赔偿。</w:t>
      </w:r>
    </w:p>
    <w:p>
      <w:pPr>
        <w:spacing w:line="360" w:lineRule="auto"/>
        <w:ind w:firstLine="480" w:firstLineChars="200"/>
        <w:rPr>
          <w:rFonts w:ascii="宋体" w:hAnsi="宋体" w:cs="宋体"/>
          <w:sz w:val="24"/>
          <w:szCs w:val="24"/>
        </w:rPr>
      </w:pPr>
      <w:r>
        <w:rPr>
          <w:rFonts w:hint="eastAsia" w:ascii="宋体" w:hAnsi="宋体" w:cs="宋体"/>
          <w:sz w:val="24"/>
          <w:szCs w:val="24"/>
        </w:rPr>
        <w:t>12、中标供应商在经营期间，除校方现有施舍外所需的一切设备、设施、物品及装饰装修改造，均由中标供应商自行承担，校方不再另行支付任何费用。经营期满后，若中标供应商在合同到期之日起五日内按移交清单将处于正常使用状态的全部设备设施完好的移交给校方，中标供应商所有工作人员以及经营期间中标供应商自行添置的可移动设备设施在不破坏食堂布局和功能的情况下可撤出场地，其履约保证金可正常退还；逾期10日内每日按5000元人民币扣除中标供应商违约金；逾期超过10日，按履约保证金全额扣除中标供应商违约金，同时校方有权单方面强制清场，由此造成的一切损失由中标供应商承担。</w:t>
      </w:r>
    </w:p>
    <w:p>
      <w:pPr>
        <w:spacing w:line="360" w:lineRule="auto"/>
        <w:ind w:firstLine="480" w:firstLineChars="200"/>
        <w:rPr>
          <w:rFonts w:ascii="宋体" w:hAnsi="宋体" w:cs="宋体"/>
          <w:sz w:val="24"/>
          <w:szCs w:val="24"/>
        </w:rPr>
      </w:pPr>
      <w:r>
        <w:rPr>
          <w:rFonts w:hint="eastAsia" w:ascii="宋体" w:hAnsi="宋体" w:cs="宋体"/>
          <w:sz w:val="24"/>
          <w:szCs w:val="24"/>
        </w:rPr>
        <w:t>13、中标供应商应遵守池州学院相关制度，如《池州学院社会餐饮企业监督及奖惩管理办法》、《池州学院社会餐饮企业师生满意度测评实施办法（试行）》等。</w:t>
      </w:r>
    </w:p>
    <w:p>
      <w:pPr>
        <w:spacing w:line="360" w:lineRule="auto"/>
        <w:ind w:firstLine="480" w:firstLineChars="200"/>
        <w:rPr>
          <w:rFonts w:ascii="宋体" w:hAnsi="宋体" w:cs="宋体"/>
          <w:sz w:val="24"/>
          <w:szCs w:val="24"/>
        </w:rPr>
      </w:pPr>
      <w:r>
        <w:rPr>
          <w:rFonts w:hint="eastAsia" w:ascii="宋体" w:hAnsi="宋体" w:cs="宋体"/>
          <w:sz w:val="24"/>
          <w:szCs w:val="24"/>
        </w:rPr>
        <w:t>14、中标供应商应全力配合池州学院完成后勤信息化工作，共同打造智慧后勤、数据后勤、绿色后勤、质量后勤、活力后勤、人文后勤。</w:t>
      </w:r>
    </w:p>
    <w:p>
      <w:pPr>
        <w:adjustRightInd w:val="0"/>
        <w:snapToGrid w:val="0"/>
        <w:spacing w:line="360" w:lineRule="auto"/>
        <w:ind w:firstLine="480" w:firstLineChars="200"/>
        <w:rPr>
          <w:sz w:val="24"/>
        </w:rPr>
      </w:pPr>
      <w:r>
        <w:rPr>
          <w:rFonts w:hint="eastAsia" w:ascii="宋体" w:hAnsi="宋体" w:cs="宋体"/>
          <w:sz w:val="24"/>
          <w:szCs w:val="24"/>
        </w:rPr>
        <w:t>15、</w:t>
      </w:r>
      <w:r>
        <w:rPr>
          <w:rFonts w:hint="eastAsia"/>
          <w:sz w:val="24"/>
        </w:rPr>
        <w:t>中标供应商必须按时、足量、保质提供膳食服务，不得随意涨价。确因原材料大幅涨价或其他原因需要上调饭菜价格的，需提出书面申请并说明充分理由，经学校同意方可执行。未履行规定程序擅自涨价的，将被视为严重违约，学校有权解除合同，并追究其违约责任。</w:t>
      </w:r>
    </w:p>
    <w:p>
      <w:pPr>
        <w:adjustRightInd w:val="0"/>
        <w:snapToGrid w:val="0"/>
        <w:spacing w:line="360" w:lineRule="auto"/>
        <w:ind w:firstLine="480" w:firstLineChars="200"/>
        <w:rPr>
          <w:sz w:val="24"/>
        </w:rPr>
      </w:pPr>
      <w:r>
        <w:rPr>
          <w:rFonts w:hint="eastAsia"/>
          <w:sz w:val="24"/>
        </w:rPr>
        <w:t>16、中标</w:t>
      </w:r>
      <w:r>
        <w:rPr>
          <w:rFonts w:hint="eastAsia" w:ascii="宋体" w:hAnsi="宋体" w:cs="宋体"/>
          <w:sz w:val="24"/>
          <w:szCs w:val="24"/>
        </w:rPr>
        <w:t>供应商</w:t>
      </w:r>
      <w:r>
        <w:rPr>
          <w:rFonts w:hint="eastAsia"/>
          <w:sz w:val="24"/>
        </w:rPr>
        <w:t>进场经营时，还需遵守安徽省高等院校餐饮行业规范标准。</w:t>
      </w:r>
    </w:p>
    <w:p>
      <w:pPr>
        <w:spacing w:line="360" w:lineRule="auto"/>
        <w:rPr>
          <w:rFonts w:ascii="宋体" w:hAnsi="宋体" w:cs="宋体"/>
          <w:b/>
          <w:bCs/>
          <w:sz w:val="24"/>
          <w:szCs w:val="24"/>
        </w:rPr>
      </w:pPr>
    </w:p>
    <w:p>
      <w:pPr>
        <w:spacing w:line="360" w:lineRule="auto"/>
        <w:rPr>
          <w:rFonts w:ascii="宋体" w:hAnsi="宋体" w:cs="宋体"/>
          <w:b/>
          <w:bCs/>
          <w:sz w:val="24"/>
          <w:szCs w:val="24"/>
        </w:rPr>
      </w:pPr>
      <w:r>
        <w:rPr>
          <w:rFonts w:hint="eastAsia" w:ascii="宋体" w:hAnsi="宋体" w:cs="宋体"/>
          <w:b/>
          <w:bCs/>
          <w:sz w:val="24"/>
          <w:szCs w:val="24"/>
        </w:rPr>
        <w:t>四、餐饮供应及服务要求</w:t>
      </w:r>
    </w:p>
    <w:p>
      <w:pPr>
        <w:spacing w:line="360" w:lineRule="auto"/>
        <w:ind w:firstLine="480" w:firstLineChars="200"/>
        <w:rPr>
          <w:rFonts w:ascii="宋体" w:hAnsi="宋体" w:cs="宋体"/>
          <w:sz w:val="24"/>
          <w:szCs w:val="24"/>
        </w:rPr>
      </w:pPr>
      <w:r>
        <w:rPr>
          <w:rFonts w:hint="eastAsia" w:ascii="宋体" w:hAnsi="宋体" w:cs="宋体"/>
          <w:sz w:val="24"/>
          <w:szCs w:val="24"/>
        </w:rPr>
        <w:t>1、学校食堂经营服务思想，必须坚持为教学、科研和师生员工服务的宗旨。在运营机制上既要遵循市场规律，更要发挥学校后勤保障性、基础性和先行性地作用。要充分考虑到大多数学生的经济消费能力，严格控制饭菜价格，提高饭菜质量，不断改善就餐环境和提高服务水平。</w:t>
      </w:r>
    </w:p>
    <w:p>
      <w:pPr>
        <w:adjustRightInd w:val="0"/>
        <w:snapToGrid w:val="0"/>
        <w:spacing w:line="360" w:lineRule="auto"/>
        <w:ind w:firstLine="480" w:firstLineChars="200"/>
        <w:rPr>
          <w:sz w:val="24"/>
        </w:rPr>
      </w:pPr>
      <w:r>
        <w:rPr>
          <w:rFonts w:hint="eastAsia"/>
          <w:sz w:val="24"/>
        </w:rPr>
        <w:t>2、学校后勤与基建处有权对食堂的食品卫生安全、饭菜质量份量价格、服务质量与服务态度等实施全方位监管。中标供应商应主动了解学校广大师生需求，虚心接受广大师生的意见和建议，不断调整食堂花色品种搭配，努力改善伙食质量，并主动采取措施保证食堂饭菜价格基本稳定。</w:t>
      </w:r>
    </w:p>
    <w:p>
      <w:pPr>
        <w:spacing w:line="360" w:lineRule="auto"/>
        <w:ind w:firstLine="480" w:firstLineChars="200"/>
        <w:rPr>
          <w:rFonts w:ascii="宋体" w:hAnsi="宋体" w:cs="宋体"/>
          <w:sz w:val="24"/>
          <w:szCs w:val="24"/>
        </w:rPr>
      </w:pPr>
      <w:r>
        <w:rPr>
          <w:rFonts w:hint="eastAsia" w:ascii="宋体" w:hAnsi="宋体" w:cs="宋体"/>
          <w:sz w:val="24"/>
          <w:szCs w:val="24"/>
        </w:rPr>
        <w:t>3、学生食堂均以基本大伙为主，兼做特色经营。对食堂实行自主经营、自负盈亏。保证主副食品花色品种不断翻新和多样化。早餐主食品种12种以上，副食5种以上；中餐主食3种以上，副食15种以上；晚餐主食10种以上，副食10种以上；保证高、中、低档各类菜肴比例为3：5：2，低价菜肴不断供。</w:t>
      </w:r>
    </w:p>
    <w:p>
      <w:pPr>
        <w:spacing w:line="360" w:lineRule="auto"/>
        <w:ind w:firstLine="480" w:firstLineChars="200"/>
        <w:rPr>
          <w:rFonts w:ascii="宋体" w:hAnsi="宋体" w:cs="宋体"/>
          <w:sz w:val="24"/>
          <w:szCs w:val="24"/>
        </w:rPr>
      </w:pPr>
      <w:r>
        <w:rPr>
          <w:rFonts w:hint="eastAsia" w:ascii="宋体" w:hAnsi="宋体" w:cs="宋体"/>
          <w:sz w:val="24"/>
          <w:szCs w:val="24"/>
        </w:rPr>
        <w:t>4、三食堂中的教工食堂因学校现在实行教工“刷2补10”的运行模式，每天中饭约300位教职工需就餐，要确保每餐至少有3个全荤和3个半荤供教职工选择，且全荤与半荤菜每周不少于10个品种，素菜品种每餐不少于4个可供选择。确保餐后免费提供时令水果，水果每位就餐教职工配给1个；每天需提供一定质量不同花样的免费汤，如青菜鸡蛋汤，要保证每公斤汤有1.5--2个鸡蛋，青菜与水比例1/8-1/10；肉丝肉片汤，要保证每公斤汤有不少于40克的肉丝或肉片等。教工食堂还同时提供学校来人招待服务。</w:t>
      </w:r>
    </w:p>
    <w:p>
      <w:pPr>
        <w:spacing w:line="360" w:lineRule="auto"/>
        <w:ind w:firstLine="480" w:firstLineChars="200"/>
        <w:rPr>
          <w:rFonts w:ascii="宋体" w:hAnsi="宋体" w:cs="宋体"/>
          <w:sz w:val="24"/>
          <w:szCs w:val="24"/>
        </w:rPr>
      </w:pPr>
      <w:r>
        <w:rPr>
          <w:rFonts w:hint="eastAsia" w:ascii="宋体" w:hAnsi="宋体" w:cs="宋体"/>
          <w:sz w:val="24"/>
          <w:szCs w:val="24"/>
        </w:rPr>
        <w:t>5、各食堂要确保根据学校工作计划和安排，服从暑期等特殊时间开伙要求。</w:t>
      </w:r>
    </w:p>
    <w:p>
      <w:pPr>
        <w:spacing w:line="360" w:lineRule="auto"/>
        <w:ind w:firstLine="480" w:firstLineChars="200"/>
        <w:rPr>
          <w:rFonts w:ascii="宋体" w:hAnsi="宋体" w:cs="宋体"/>
          <w:sz w:val="24"/>
          <w:szCs w:val="24"/>
        </w:rPr>
      </w:pPr>
      <w:r>
        <w:rPr>
          <w:rFonts w:hint="eastAsia" w:ascii="宋体" w:hAnsi="宋体" w:cs="宋体"/>
          <w:sz w:val="24"/>
          <w:szCs w:val="24"/>
        </w:rPr>
        <w:t>6、各食堂要根据相关食品安全法律法规，在当地食药监部门指导下，处理餐余泔水，并将处理方式方法在归口管理部门报备。</w:t>
      </w:r>
    </w:p>
    <w:p>
      <w:pPr>
        <w:widowControl/>
        <w:spacing w:line="360" w:lineRule="auto"/>
        <w:ind w:firstLine="480" w:firstLineChars="200"/>
        <w:jc w:val="left"/>
        <w:rPr>
          <w:rFonts w:ascii="宋体" w:hAnsi="宋体" w:cs="宋体"/>
          <w:color w:val="0909F5"/>
          <w:sz w:val="24"/>
          <w:szCs w:val="24"/>
        </w:rPr>
      </w:pPr>
      <w:r>
        <w:rPr>
          <w:rFonts w:hint="eastAsia" w:ascii="宋体" w:hAnsi="宋体" w:cs="宋体"/>
          <w:color w:val="0909F5"/>
          <w:sz w:val="24"/>
          <w:szCs w:val="24"/>
        </w:rPr>
        <w:t>7、</w:t>
      </w:r>
      <w:r>
        <w:rPr>
          <w:rFonts w:hint="eastAsia" w:ascii="宋体" w:hAnsi="宋体" w:cs="宋体"/>
          <w:color w:val="0909F5"/>
          <w:kern w:val="0"/>
          <w:sz w:val="24"/>
          <w:szCs w:val="24"/>
        </w:rPr>
        <w:t>未经</w:t>
      </w:r>
      <w:r>
        <w:rPr>
          <w:rFonts w:hint="eastAsia" w:ascii="宋体" w:hAnsi="宋体" w:cs="宋体"/>
          <w:color w:val="0909F5"/>
          <w:sz w:val="24"/>
          <w:szCs w:val="24"/>
        </w:rPr>
        <w:t>校方</w:t>
      </w:r>
      <w:r>
        <w:rPr>
          <w:rFonts w:hint="eastAsia" w:ascii="宋体" w:hAnsi="宋体" w:cs="宋体"/>
          <w:color w:val="0909F5"/>
          <w:kern w:val="0"/>
          <w:sz w:val="24"/>
          <w:szCs w:val="24"/>
        </w:rPr>
        <w:t>同意，</w:t>
      </w:r>
      <w:r>
        <w:rPr>
          <w:rFonts w:hint="eastAsia" w:ascii="宋体" w:hAnsi="宋体" w:cs="宋体"/>
          <w:color w:val="0909F5"/>
          <w:sz w:val="24"/>
          <w:szCs w:val="24"/>
        </w:rPr>
        <w:t>中标供应商不得在经营场所内开设任何形式的“店中店”。</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8、中标供应商在经营期间，若存在下列情况之一：</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①违反</w:t>
      </w:r>
      <w:r>
        <w:rPr>
          <w:rFonts w:hint="eastAsia" w:ascii="宋体" w:hAnsi="宋体" w:cs="宋体"/>
          <w:kern w:val="0"/>
          <w:sz w:val="24"/>
          <w:szCs w:val="24"/>
        </w:rPr>
        <w:t>《中华人民共和国食品安全法》</w:t>
      </w:r>
      <w:r>
        <w:rPr>
          <w:rFonts w:hint="eastAsia" w:ascii="宋体" w:hAnsi="宋体" w:cs="宋体"/>
          <w:sz w:val="24"/>
          <w:szCs w:val="24"/>
        </w:rPr>
        <w:t>等法律法规或上级有关文件规定；</w:t>
      </w:r>
    </w:p>
    <w:p>
      <w:pPr>
        <w:widowControl/>
        <w:spacing w:line="360" w:lineRule="auto"/>
        <w:ind w:firstLine="480" w:firstLineChars="200"/>
        <w:jc w:val="left"/>
        <w:rPr>
          <w:rFonts w:ascii="宋体" w:hAnsi="宋体" w:cs="宋体"/>
          <w:kern w:val="0"/>
          <w:sz w:val="24"/>
          <w:szCs w:val="24"/>
        </w:rPr>
      </w:pPr>
      <w:r>
        <w:rPr>
          <w:rFonts w:hint="eastAsia" w:ascii="宋体" w:hAnsi="宋体" w:cs="宋体"/>
          <w:sz w:val="24"/>
          <w:szCs w:val="24"/>
        </w:rPr>
        <w:t>②严重违反校方相关规章制度和管理规定；</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③合同期内，非不可抗力情况下连续不正常营业时间超过2日，或累计不正常营业时间超过7日；</w:t>
      </w:r>
    </w:p>
    <w:p>
      <w:pPr>
        <w:widowControl/>
        <w:spacing w:line="360" w:lineRule="auto"/>
        <w:ind w:firstLine="480" w:firstLineChars="200"/>
        <w:jc w:val="left"/>
        <w:rPr>
          <w:rFonts w:ascii="宋体" w:hAnsi="宋体" w:cs="宋体"/>
          <w:sz w:val="24"/>
          <w:szCs w:val="24"/>
        </w:rPr>
      </w:pPr>
      <w:r>
        <w:rPr>
          <w:rFonts w:hint="eastAsia" w:ascii="宋体" w:hAnsi="宋体" w:cs="宋体"/>
          <w:kern w:val="0"/>
          <w:sz w:val="24"/>
          <w:szCs w:val="24"/>
        </w:rPr>
        <w:t>④委托经营期间，中标供应商必须独立经营，不得将食堂经营项目整体或部分转让他人，或将部分窗口租赁经营。</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⑤发生食品卫生安全事故或出现消防安全责任事故的；</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⑥合同期内接到群体性（5人及以上）投诉经查证属实达到3次，或累计接到投诉且查证属实达到15次；</w:t>
      </w:r>
    </w:p>
    <w:p>
      <w:pPr>
        <w:widowControl/>
        <w:spacing w:line="360" w:lineRule="auto"/>
        <w:ind w:firstLine="480" w:firstLineChars="200"/>
        <w:jc w:val="left"/>
        <w:rPr>
          <w:rFonts w:ascii="宋体" w:hAnsi="宋体" w:cs="宋体"/>
          <w:sz w:val="24"/>
          <w:szCs w:val="24"/>
        </w:rPr>
      </w:pPr>
      <w:r>
        <w:rPr>
          <w:rFonts w:hint="eastAsia" w:ascii="宋体" w:hAnsi="宋体" w:cs="宋体"/>
          <w:sz w:val="24"/>
          <w:szCs w:val="24"/>
        </w:rPr>
        <w:t>⑦与第三方发生债权债务或其它法律纠纷，并且给校方造成不良影响的。</w:t>
      </w:r>
    </w:p>
    <w:p>
      <w:pPr>
        <w:spacing w:line="360" w:lineRule="auto"/>
        <w:ind w:firstLine="480" w:firstLineChars="200"/>
        <w:rPr>
          <w:rFonts w:ascii="宋体" w:hAnsi="宋体" w:cs="宋体"/>
          <w:sz w:val="24"/>
          <w:szCs w:val="24"/>
        </w:rPr>
      </w:pPr>
      <w:r>
        <w:rPr>
          <w:rFonts w:hint="eastAsia" w:ascii="宋体" w:hAnsi="宋体" w:cs="宋体"/>
          <w:sz w:val="24"/>
          <w:szCs w:val="24"/>
        </w:rPr>
        <w:t>校方将视为中标供应商严重违约，有权解除合同，履约保证金不予退还，另依法追究中标供应商其他责任</w:t>
      </w:r>
      <w:r>
        <w:rPr>
          <w:rFonts w:hint="eastAsia" w:ascii="宋体" w:hAnsi="宋体" w:cs="宋体"/>
          <w:kern w:val="0"/>
          <w:sz w:val="24"/>
          <w:szCs w:val="24"/>
        </w:rPr>
        <w:t>。</w:t>
      </w:r>
    </w:p>
    <w:p>
      <w:pPr>
        <w:adjustRightInd w:val="0"/>
        <w:snapToGrid w:val="0"/>
        <w:spacing w:line="360" w:lineRule="auto"/>
        <w:rPr>
          <w:b/>
          <w:sz w:val="24"/>
        </w:rPr>
      </w:pPr>
    </w:p>
    <w:p>
      <w:pPr>
        <w:adjustRightInd w:val="0"/>
        <w:snapToGrid w:val="0"/>
        <w:spacing w:line="360" w:lineRule="auto"/>
        <w:rPr>
          <w:b/>
          <w:sz w:val="24"/>
        </w:rPr>
      </w:pPr>
      <w:r>
        <w:rPr>
          <w:rFonts w:hint="eastAsia"/>
          <w:b/>
          <w:sz w:val="24"/>
        </w:rPr>
        <w:t>五、食品采购要求</w:t>
      </w:r>
    </w:p>
    <w:p>
      <w:pPr>
        <w:spacing w:line="360" w:lineRule="auto"/>
        <w:ind w:firstLine="480" w:firstLineChars="200"/>
        <w:rPr>
          <w:rFonts w:ascii="宋体" w:hAnsi="宋体" w:cs="宋体"/>
          <w:sz w:val="24"/>
          <w:szCs w:val="24"/>
        </w:rPr>
      </w:pPr>
      <w:r>
        <w:rPr>
          <w:rFonts w:hint="eastAsia" w:ascii="宋体" w:hAnsi="宋体" w:cs="宋体"/>
          <w:sz w:val="24"/>
          <w:szCs w:val="24"/>
        </w:rPr>
        <w:t>1、中标供应商应对承包区域内的所有经营窗口实行原材料统一采购，仓库统一管理，粗加工场所统一设置，就餐区域统一保洁。售卖窗口不得用做粗加工或原材料存放场所。饭菜出售时须明码标价，操作服务程序须规范合理，窗口人员做到文明用语、礼貌服务、热情周到。</w:t>
      </w:r>
    </w:p>
    <w:p>
      <w:pPr>
        <w:adjustRightInd w:val="0"/>
        <w:snapToGrid w:val="0"/>
        <w:spacing w:line="360" w:lineRule="auto"/>
        <w:ind w:firstLine="480" w:firstLineChars="200"/>
        <w:rPr>
          <w:sz w:val="24"/>
        </w:rPr>
      </w:pPr>
      <w:r>
        <w:rPr>
          <w:rFonts w:hint="eastAsia"/>
          <w:sz w:val="24"/>
        </w:rPr>
        <w:t>2、中标供应商所需的所有物资、食品原材料等必须按学校相关规定进行采购，要定期公布市场原材料价格，要有固定的、符合相关要求的供应商，并与之签订食品卫生安全合同，按合同采购。要建立定点供货单位备案制度和索证索票制度，有相对固定的食品采购场所，保证食品来源安全、质量可靠。粮、油、副食品等主要食材应有质量检验证、卫生许可证、供货商（厂）名称和产地，禽肉类要有动物检验检疫合格证，有采购台账记录。</w:t>
      </w:r>
    </w:p>
    <w:p>
      <w:pPr>
        <w:adjustRightInd w:val="0"/>
        <w:snapToGrid w:val="0"/>
        <w:spacing w:line="360" w:lineRule="auto"/>
        <w:ind w:firstLine="480" w:firstLineChars="200"/>
        <w:rPr>
          <w:sz w:val="24"/>
        </w:rPr>
      </w:pPr>
      <w:r>
        <w:rPr>
          <w:rFonts w:hint="eastAsia"/>
          <w:sz w:val="24"/>
        </w:rPr>
        <w:t>3、禁止采购、加工、出售以下物品：①腐败变质、油脂酸败、霉变、生虫、污秽不洁、混有异物、有异味或者其他感官性异常，含有毒有害物质或者被有毒、有害物质污染，疑似对人体健康有害的食品；②未经卫生检疫部门检验或者检验不合格的肉类及其制品；③超过保质期限或者不符合规定的定型包装食品；④其他不符合食品卫生标准和要求的食品。</w:t>
      </w:r>
    </w:p>
    <w:p>
      <w:pPr>
        <w:adjustRightInd w:val="0"/>
        <w:snapToGrid w:val="0"/>
        <w:spacing w:line="360" w:lineRule="auto"/>
        <w:ind w:firstLine="480" w:firstLineChars="200"/>
        <w:rPr>
          <w:sz w:val="24"/>
        </w:rPr>
      </w:pPr>
      <w:r>
        <w:rPr>
          <w:rFonts w:hint="eastAsia"/>
          <w:sz w:val="24"/>
        </w:rPr>
        <w:t>4、中标供应商承诺实行电子台账管理，并允许采购人指定部门和指定人员察看。每天对入库、出库物资要严格过秤、验质、销账，做到日结日清。实行物资来源地登记及验收人签字制度。</w:t>
      </w:r>
    </w:p>
    <w:p>
      <w:pPr>
        <w:adjustRightInd w:val="0"/>
        <w:snapToGrid w:val="0"/>
        <w:spacing w:line="360" w:lineRule="auto"/>
        <w:rPr>
          <w:b/>
          <w:sz w:val="24"/>
        </w:rPr>
      </w:pPr>
    </w:p>
    <w:p>
      <w:pPr>
        <w:adjustRightInd w:val="0"/>
        <w:snapToGrid w:val="0"/>
        <w:spacing w:line="360" w:lineRule="auto"/>
        <w:rPr>
          <w:b/>
          <w:sz w:val="24"/>
        </w:rPr>
      </w:pPr>
      <w:r>
        <w:rPr>
          <w:rFonts w:hint="eastAsia"/>
          <w:b/>
          <w:sz w:val="24"/>
        </w:rPr>
        <w:t>六、食品安全要求</w:t>
      </w:r>
    </w:p>
    <w:p>
      <w:pPr>
        <w:adjustRightInd w:val="0"/>
        <w:snapToGrid w:val="0"/>
        <w:spacing w:line="360" w:lineRule="auto"/>
        <w:ind w:firstLine="480" w:firstLineChars="200"/>
        <w:rPr>
          <w:sz w:val="24"/>
        </w:rPr>
      </w:pPr>
      <w:r>
        <w:rPr>
          <w:rFonts w:hint="eastAsia"/>
          <w:sz w:val="24"/>
        </w:rPr>
        <w:t>1、食堂必须采用新鲜洁净的原料制作食品，不得加工或使用腐败变质和感官性状异常的食品及其原料。</w:t>
      </w:r>
    </w:p>
    <w:p>
      <w:pPr>
        <w:adjustRightInd w:val="0"/>
        <w:snapToGrid w:val="0"/>
        <w:spacing w:line="360" w:lineRule="auto"/>
        <w:ind w:firstLine="480" w:firstLineChars="200"/>
        <w:rPr>
          <w:sz w:val="24"/>
        </w:rPr>
      </w:pPr>
      <w:r>
        <w:rPr>
          <w:rFonts w:hint="eastAsia"/>
          <w:sz w:val="24"/>
        </w:rPr>
        <w:t>2、加工后的熟食品应当与食品原料分开存放，半成品应当与食品原料分开存放，防止交叉污染。食品不得接触有毒物、不洁物，严防食源性疾患的发生，杜绝食物中毒。</w:t>
      </w:r>
    </w:p>
    <w:p>
      <w:pPr>
        <w:adjustRightInd w:val="0"/>
        <w:snapToGrid w:val="0"/>
        <w:spacing w:line="360" w:lineRule="auto"/>
        <w:ind w:firstLine="480" w:firstLineChars="200"/>
        <w:rPr>
          <w:sz w:val="24"/>
        </w:rPr>
      </w:pPr>
      <w:r>
        <w:rPr>
          <w:rFonts w:hint="eastAsia"/>
          <w:sz w:val="24"/>
        </w:rPr>
        <w:t>3、食品贮存应当分类、分架、隔墙、离地存放，冰箱冰柜无厚霜、无异味污渍，有冰箱除霜记录。定期检查、及时处理变质或超过期限的食品。食品贮存场所禁止存放有毒、有害物品及个人生活物品。用于保存食品的冷藏设备，必须贴有标签，食品原料、半成品和热食品应分柜存放。</w:t>
      </w:r>
    </w:p>
    <w:p>
      <w:pPr>
        <w:adjustRightInd w:val="0"/>
        <w:snapToGrid w:val="0"/>
        <w:spacing w:line="360" w:lineRule="auto"/>
        <w:ind w:firstLine="480" w:firstLineChars="200"/>
        <w:rPr>
          <w:sz w:val="24"/>
        </w:rPr>
      </w:pPr>
      <w:r>
        <w:rPr>
          <w:rFonts w:hint="eastAsia"/>
          <w:sz w:val="24"/>
        </w:rPr>
        <w:t>4、制作熟食品必须配有熟食间，熟食间的要求及操作规程应按照卫生防疫部门的有关规定。</w:t>
      </w:r>
    </w:p>
    <w:p>
      <w:pPr>
        <w:adjustRightInd w:val="0"/>
        <w:snapToGrid w:val="0"/>
        <w:spacing w:line="360" w:lineRule="auto"/>
        <w:ind w:firstLine="480" w:firstLineChars="200"/>
        <w:rPr>
          <w:sz w:val="24"/>
        </w:rPr>
      </w:pPr>
      <w:r>
        <w:rPr>
          <w:rFonts w:hint="eastAsia"/>
          <w:sz w:val="24"/>
        </w:rPr>
        <w:t>5、每餐的各种凉菜应各取不少于250克的样品留置于冷藏设备中保存24小时以上，以备查验。制作凉菜应当符合下列条件：①凉菜间必须每天定时进行空气消毒；②操作员必须穿戴洁净的工作衣帽，并洗手消毒；③凉菜应由专人加工制作，非凉菜间工作人员不得擅自进入凉菜间；④加工凉菜的工具、容器必须专用，用前必须消毒，用后必须洗净并保持清洁；⑤供加工凉菜用的蔬菜、水果等食品原料必须洗净消毒，未经清洗处理的不得带入凉菜间；⑥制作肉类、水产品类凉菜拼盘的原材料，应尽量当餐用完，剩余尚需使用的必须存放于专用冰箱内冷藏。</w:t>
      </w:r>
    </w:p>
    <w:p>
      <w:pPr>
        <w:adjustRightInd w:val="0"/>
        <w:snapToGrid w:val="0"/>
        <w:spacing w:line="360" w:lineRule="auto"/>
        <w:ind w:firstLine="480" w:firstLineChars="200"/>
        <w:rPr>
          <w:sz w:val="24"/>
        </w:rPr>
      </w:pPr>
      <w:r>
        <w:rPr>
          <w:rFonts w:hint="eastAsia"/>
          <w:sz w:val="24"/>
        </w:rPr>
        <w:t>6、销售直接入口食品时，应当使用专用工具分检传递食品。专用工具应当定位放置，生熟分开，防止污染。</w:t>
      </w:r>
    </w:p>
    <w:p>
      <w:pPr>
        <w:adjustRightInd w:val="0"/>
        <w:snapToGrid w:val="0"/>
        <w:spacing w:line="360" w:lineRule="auto"/>
        <w:ind w:firstLine="480" w:firstLineChars="200"/>
        <w:rPr>
          <w:sz w:val="24"/>
        </w:rPr>
      </w:pPr>
      <w:r>
        <w:rPr>
          <w:rFonts w:hint="eastAsia"/>
          <w:sz w:val="24"/>
        </w:rPr>
        <w:t>7、食品在烹饪后至出售前一般不超过2小时，若超过2小时存放的，应当在高于60℃或低于10℃的条件下存放。</w:t>
      </w:r>
    </w:p>
    <w:p>
      <w:pPr>
        <w:adjustRightInd w:val="0"/>
        <w:snapToGrid w:val="0"/>
        <w:spacing w:line="360" w:lineRule="auto"/>
        <w:ind w:firstLine="480" w:firstLineChars="200"/>
        <w:rPr>
          <w:sz w:val="24"/>
        </w:rPr>
      </w:pPr>
      <w:r>
        <w:rPr>
          <w:rFonts w:hint="eastAsia"/>
          <w:sz w:val="24"/>
        </w:rPr>
        <w:t>8、食堂剩余食品必须冷藏，冷藏时间不得超过24小时，在确认没有变质的情况下，必须经高温彻底加热后，方可继续出售。</w:t>
      </w:r>
    </w:p>
    <w:p>
      <w:pPr>
        <w:adjustRightInd w:val="0"/>
        <w:snapToGrid w:val="0"/>
        <w:spacing w:line="360" w:lineRule="auto"/>
        <w:rPr>
          <w:b/>
          <w:sz w:val="24"/>
        </w:rPr>
      </w:pPr>
    </w:p>
    <w:p>
      <w:pPr>
        <w:adjustRightInd w:val="0"/>
        <w:snapToGrid w:val="0"/>
        <w:spacing w:line="360" w:lineRule="auto"/>
        <w:rPr>
          <w:b/>
          <w:sz w:val="24"/>
        </w:rPr>
      </w:pPr>
      <w:r>
        <w:rPr>
          <w:rFonts w:hint="eastAsia"/>
          <w:b/>
          <w:sz w:val="24"/>
        </w:rPr>
        <w:t>七、环境卫生要求</w:t>
      </w:r>
    </w:p>
    <w:p>
      <w:pPr>
        <w:adjustRightInd w:val="0"/>
        <w:snapToGrid w:val="0"/>
        <w:spacing w:line="360" w:lineRule="auto"/>
        <w:ind w:firstLine="480" w:firstLineChars="200"/>
        <w:rPr>
          <w:sz w:val="24"/>
        </w:rPr>
      </w:pPr>
      <w:r>
        <w:rPr>
          <w:rFonts w:hint="eastAsia"/>
          <w:sz w:val="24"/>
        </w:rPr>
        <w:t>1、食堂应当保持室内外环境卫生、整洁、干净，门窗玻璃明亮、无油垢，通风采光良好，灯具、电风扇、电视机、空调等无灰尘及蜘蛛网，纱窗门帘完好，使用正常，无卫生死角，各食堂应有完好的防治“四害”的设施，有效消除老鼠、蟑螂、苍蝇和其他有害昆虫及卫生条件，保证食品的卫生安全。食堂产生的垃圾应按规定入袋封口、装桶并加盖，及时予以清理，定期进行大扫除。</w:t>
      </w:r>
    </w:p>
    <w:p>
      <w:pPr>
        <w:adjustRightInd w:val="0"/>
        <w:snapToGrid w:val="0"/>
        <w:spacing w:line="360" w:lineRule="auto"/>
        <w:ind w:firstLine="480" w:firstLineChars="200"/>
        <w:rPr>
          <w:sz w:val="24"/>
        </w:rPr>
      </w:pPr>
      <w:r>
        <w:rPr>
          <w:rFonts w:hint="eastAsia"/>
          <w:sz w:val="24"/>
        </w:rPr>
        <w:t>2、食堂的设施、设备布局流程应当符合食品卫生的要求，有独立的食品原料存放间、食品加工操作间、食品预售间及用餐场所。备餐间、熟食间应配有紫外线消毒灯，一天至少消毒二次。</w:t>
      </w:r>
    </w:p>
    <w:p>
      <w:pPr>
        <w:adjustRightInd w:val="0"/>
        <w:snapToGrid w:val="0"/>
        <w:spacing w:line="360" w:lineRule="auto"/>
        <w:ind w:firstLine="480" w:firstLineChars="200"/>
        <w:rPr>
          <w:sz w:val="24"/>
        </w:rPr>
      </w:pPr>
      <w:r>
        <w:rPr>
          <w:rFonts w:hint="eastAsia"/>
          <w:sz w:val="24"/>
        </w:rPr>
        <w:t>3、餐饮具使用前必须洗净、消毒，符合国家有关卫生标准，未经消毒的餐、饮具不得提供给消费者使用。禁止重复使用一次性地餐饮具。减少一次餐具的投放量，提倡使用钢化或瓷器餐具.餐具消毒严格按照“一洗、二刷、三冲、四消毒”的程序执行。</w:t>
      </w:r>
    </w:p>
    <w:p>
      <w:pPr>
        <w:adjustRightInd w:val="0"/>
        <w:snapToGrid w:val="0"/>
        <w:spacing w:line="360" w:lineRule="auto"/>
        <w:ind w:firstLine="480" w:firstLineChars="200"/>
        <w:rPr>
          <w:sz w:val="24"/>
        </w:rPr>
      </w:pPr>
      <w:r>
        <w:rPr>
          <w:rFonts w:hint="eastAsia"/>
          <w:sz w:val="24"/>
        </w:rPr>
        <w:t>4、餐饮具使用的洗涤、消毒剂必须符合卫生标准或要求。洗涤、消毒剂必须有固定的存放场所（橱柜），有明显的标记。消毒后的餐、饮具必须贮存在餐具专用保洁柜内备用。已消毒和未消毒的餐具应分开存放，并在贮存柜上有明显的标记。</w:t>
      </w:r>
    </w:p>
    <w:p>
      <w:pPr>
        <w:adjustRightInd w:val="0"/>
        <w:snapToGrid w:val="0"/>
        <w:spacing w:line="360" w:lineRule="auto"/>
        <w:ind w:firstLine="480" w:firstLineChars="200"/>
        <w:rPr>
          <w:sz w:val="24"/>
        </w:rPr>
      </w:pPr>
      <w:r>
        <w:rPr>
          <w:rFonts w:hint="eastAsia"/>
          <w:sz w:val="24"/>
        </w:rPr>
        <w:t>5、未经许可，不得随意在食堂内张贴任何广告、有偿告示，保持立柱、窗口、餐桌的干净整洁。</w:t>
      </w:r>
    </w:p>
    <w:p>
      <w:pPr>
        <w:adjustRightInd w:val="0"/>
        <w:snapToGrid w:val="0"/>
        <w:spacing w:line="360" w:lineRule="auto"/>
        <w:rPr>
          <w:b/>
          <w:sz w:val="24"/>
        </w:rPr>
      </w:pPr>
    </w:p>
    <w:p>
      <w:pPr>
        <w:adjustRightInd w:val="0"/>
        <w:snapToGrid w:val="0"/>
        <w:spacing w:line="360" w:lineRule="auto"/>
        <w:rPr>
          <w:b/>
          <w:sz w:val="24"/>
        </w:rPr>
      </w:pPr>
      <w:r>
        <w:rPr>
          <w:rFonts w:hint="eastAsia"/>
          <w:b/>
          <w:sz w:val="24"/>
        </w:rPr>
        <w:t>八、用工管理要求</w:t>
      </w:r>
    </w:p>
    <w:p>
      <w:pPr>
        <w:adjustRightInd w:val="0"/>
        <w:snapToGrid w:val="0"/>
        <w:spacing w:line="360" w:lineRule="auto"/>
        <w:ind w:firstLine="480" w:firstLineChars="200"/>
        <w:rPr>
          <w:sz w:val="24"/>
        </w:rPr>
      </w:pPr>
      <w:r>
        <w:rPr>
          <w:rFonts w:hint="eastAsia"/>
          <w:sz w:val="24"/>
        </w:rPr>
        <w:t>1、食堂用工应以中标供应商名义自行招聘与管理，并依法与劳动者签订劳动用工合同，履行用工单位法定义务。</w:t>
      </w:r>
    </w:p>
    <w:p>
      <w:pPr>
        <w:adjustRightInd w:val="0"/>
        <w:snapToGrid w:val="0"/>
        <w:spacing w:line="360" w:lineRule="auto"/>
        <w:ind w:firstLine="480" w:firstLineChars="200"/>
        <w:rPr>
          <w:sz w:val="24"/>
        </w:rPr>
      </w:pPr>
      <w:r>
        <w:rPr>
          <w:rFonts w:hint="eastAsia"/>
          <w:sz w:val="24"/>
        </w:rPr>
        <w:t>2、学校有权对中标供应商的用工情况进行监督和检查，但不承担与用工有关的任何连带法律责任。</w:t>
      </w:r>
    </w:p>
    <w:p>
      <w:pPr>
        <w:adjustRightInd w:val="0"/>
        <w:snapToGrid w:val="0"/>
        <w:spacing w:line="360" w:lineRule="auto"/>
        <w:ind w:firstLine="480" w:firstLineChars="200"/>
        <w:rPr>
          <w:sz w:val="24"/>
        </w:rPr>
      </w:pPr>
      <w:r>
        <w:rPr>
          <w:rFonts w:hint="eastAsia"/>
          <w:sz w:val="24"/>
        </w:rPr>
        <w:t>3、中标供应商聘用人员必须持有身份证、健康证等，建立完善的管理档案，并报学校职能部门备案。</w:t>
      </w:r>
    </w:p>
    <w:p>
      <w:pPr>
        <w:adjustRightInd w:val="0"/>
        <w:snapToGrid w:val="0"/>
        <w:spacing w:line="360" w:lineRule="auto"/>
        <w:ind w:firstLine="480" w:firstLineChars="200"/>
        <w:rPr>
          <w:sz w:val="24"/>
        </w:rPr>
      </w:pPr>
      <w:r>
        <w:rPr>
          <w:rFonts w:hint="eastAsia"/>
          <w:sz w:val="24"/>
        </w:rPr>
        <w:t>4、食堂从业人员必须持健康证上岗。每年必须进行健康检查，新参加工作和临时参加工作的食品生产经营人员都必须进行健康检查，取得健康证明后方可上岗工作。患有如下疾病者不得从事饮食服务工作；凡患有痢疾、伤寒、病毒性肝炎等消化道疾病（包括病原携带者），活动性肺结核，化脓性或者渗出性皮肤病以及其他有碍食品卫生的疾病的，不得从事接触直接入口食品的制作。</w:t>
      </w:r>
    </w:p>
    <w:p>
      <w:pPr>
        <w:adjustRightInd w:val="0"/>
        <w:snapToGrid w:val="0"/>
        <w:spacing w:line="360" w:lineRule="auto"/>
        <w:ind w:firstLine="480" w:firstLineChars="200"/>
        <w:rPr>
          <w:sz w:val="24"/>
        </w:rPr>
      </w:pPr>
      <w:r>
        <w:rPr>
          <w:rFonts w:hint="eastAsia"/>
          <w:sz w:val="24"/>
        </w:rPr>
        <w:t>5、食堂从业人员个人卫生要求：①工作前、处理食品原料后及便后用洗手液及流动清水洗手，接触直接入口食品之前必须洗手消毒；②穿戴清洁的工作衣、帽，并把头发置于帽内；③不得留长指甲、涂指甲油、戴戒指加工食品；④不得在食品加工和销售场所内吸烟。</w:t>
      </w:r>
    </w:p>
    <w:p>
      <w:pPr>
        <w:adjustRightInd w:val="0"/>
        <w:snapToGrid w:val="0"/>
        <w:spacing w:line="360" w:lineRule="auto"/>
        <w:ind w:firstLine="480" w:firstLineChars="200"/>
        <w:rPr>
          <w:sz w:val="24"/>
        </w:rPr>
      </w:pPr>
      <w:r>
        <w:rPr>
          <w:rFonts w:hint="eastAsia"/>
          <w:sz w:val="24"/>
        </w:rPr>
        <w:t>6、食堂项目经理如超过两天以上不能到现场，必须向管理部门说明情况备案并说明情况；每日三餐均有食堂经理现场值班，有投诉箱、投诉电话，所有投诉记录24小时内处理完毕。</w:t>
      </w:r>
    </w:p>
    <w:p>
      <w:pPr>
        <w:adjustRightInd w:val="0"/>
        <w:snapToGrid w:val="0"/>
        <w:spacing w:line="360" w:lineRule="auto"/>
        <w:rPr>
          <w:b/>
          <w:sz w:val="24"/>
        </w:rPr>
      </w:pPr>
    </w:p>
    <w:p>
      <w:pPr>
        <w:adjustRightInd w:val="0"/>
        <w:snapToGrid w:val="0"/>
        <w:spacing w:line="360" w:lineRule="auto"/>
        <w:rPr>
          <w:b/>
          <w:sz w:val="24"/>
        </w:rPr>
      </w:pPr>
      <w:r>
        <w:rPr>
          <w:rFonts w:hint="eastAsia"/>
          <w:b/>
          <w:sz w:val="24"/>
        </w:rPr>
        <w:t>九、安全管理要求</w:t>
      </w:r>
    </w:p>
    <w:p>
      <w:pPr>
        <w:adjustRightInd w:val="0"/>
        <w:snapToGrid w:val="0"/>
        <w:spacing w:line="360" w:lineRule="auto"/>
        <w:ind w:firstLine="480" w:firstLineChars="200"/>
        <w:rPr>
          <w:sz w:val="24"/>
        </w:rPr>
      </w:pPr>
      <w:r>
        <w:rPr>
          <w:rFonts w:hint="eastAsia"/>
          <w:sz w:val="24"/>
        </w:rPr>
        <w:t>1、中标供应商作为委托经营食堂食品卫生安全、消防安全、治安安全等的第一责任人，对相应的安全管理工作负有直接的组织和管理义务，并承担全部责任。</w:t>
      </w:r>
    </w:p>
    <w:p>
      <w:pPr>
        <w:adjustRightInd w:val="0"/>
        <w:snapToGrid w:val="0"/>
        <w:spacing w:line="360" w:lineRule="auto"/>
        <w:ind w:firstLine="480" w:firstLineChars="200"/>
        <w:rPr>
          <w:sz w:val="24"/>
        </w:rPr>
      </w:pPr>
      <w:r>
        <w:rPr>
          <w:rFonts w:hint="eastAsia"/>
          <w:sz w:val="24"/>
        </w:rPr>
        <w:t>2、中标供应商必须建立健全岗位责任制和责任追究制，做到层层把关，措施落实、责任到人，保证安全监督制度的落实。食堂管理员是食堂防火防盗、防爆炸和食品安全卫生监督管理人员。</w:t>
      </w:r>
    </w:p>
    <w:p>
      <w:pPr>
        <w:adjustRightInd w:val="0"/>
        <w:snapToGrid w:val="0"/>
        <w:spacing w:line="360" w:lineRule="auto"/>
        <w:ind w:firstLine="480" w:firstLineChars="200"/>
        <w:rPr>
          <w:sz w:val="24"/>
        </w:rPr>
      </w:pPr>
      <w:r>
        <w:rPr>
          <w:rFonts w:hint="eastAsia"/>
          <w:sz w:val="24"/>
        </w:rPr>
        <w:t>3、中标供应商经营的食堂必须取得卫生行政部门发放的卫生许可，积极配合和接受当地卫生行政部门的卫生监督检查。食堂要建立严格的安全防范措施，严禁非食堂工作人员随意进入食堂的食品加工间及食品原料存放间，防止不法人员恶意破坏。</w:t>
      </w:r>
    </w:p>
    <w:p>
      <w:pPr>
        <w:adjustRightInd w:val="0"/>
        <w:snapToGrid w:val="0"/>
        <w:spacing w:line="360" w:lineRule="auto"/>
        <w:ind w:firstLine="480" w:firstLineChars="200"/>
        <w:rPr>
          <w:sz w:val="24"/>
        </w:rPr>
      </w:pPr>
      <w:r>
        <w:rPr>
          <w:rFonts w:hint="eastAsia"/>
          <w:sz w:val="24"/>
        </w:rPr>
        <w:t>4、中标供应商应定期对从业人员进行食品卫生、消防安全、治安防范等知识培训及职业道德和法制教育，提高员工的安全防范意识和法制观念。</w:t>
      </w:r>
    </w:p>
    <w:p>
      <w:pPr>
        <w:adjustRightInd w:val="0"/>
        <w:snapToGrid w:val="0"/>
        <w:spacing w:line="360" w:lineRule="auto"/>
        <w:ind w:firstLine="480" w:firstLineChars="200"/>
        <w:rPr>
          <w:sz w:val="24"/>
        </w:rPr>
      </w:pPr>
      <w:r>
        <w:rPr>
          <w:rFonts w:hint="eastAsia"/>
          <w:sz w:val="24"/>
        </w:rPr>
        <w:t>5、中标供应商应依据国家法律法规和学校规章建立规范的内部管理制度，认真做好食品原料的采购、运输、贮存和食品的加工、出售环节食品卫生安全工作以及所经营食堂内外的环境卫生工作。经营食堂餐厨废弃物由按照政府环保部门的要求统一处理。</w:t>
      </w:r>
    </w:p>
    <w:p>
      <w:pPr>
        <w:adjustRightInd w:val="0"/>
        <w:snapToGrid w:val="0"/>
        <w:spacing w:line="360" w:lineRule="auto"/>
        <w:ind w:firstLine="480" w:firstLineChars="200"/>
        <w:rPr>
          <w:sz w:val="24"/>
        </w:rPr>
      </w:pPr>
      <w:r>
        <w:rPr>
          <w:rFonts w:hint="eastAsia"/>
          <w:sz w:val="24"/>
        </w:rPr>
        <w:t>6、中标供应商应自觉做好其经营食堂的食品安全和防火、防盗等安全应急预案，做好日常的管理工作，配备必要的消防和其他安全器材，如灭火毯、空气呼吸器、防毒面具、强光电筒等，定期做好各类安全培训和安全检查，有培训、检查记录，设专职安全员每天负责检查食堂的水、电、煤气设施设备的安全检查并有完整记录；燃气的使用要严格按照燃气公司规定的操作规程，合理合法使用气源。如发生食品安全、火灾、失窃等事故，中标供应商负完全责任；给学校造成经济损失的，应予赔偿；造成不良影响的，视为中标供应商严重违约，学校有权解除合同，并追究相应责任。</w:t>
      </w:r>
    </w:p>
    <w:p>
      <w:pPr>
        <w:adjustRightInd w:val="0"/>
        <w:snapToGrid w:val="0"/>
        <w:spacing w:line="360" w:lineRule="auto"/>
        <w:ind w:firstLine="480" w:firstLineChars="200"/>
        <w:rPr>
          <w:rFonts w:ascii="Arial" w:hAnsi="Arial" w:cs="Arial"/>
          <w:sz w:val="28"/>
        </w:rPr>
      </w:pPr>
      <w:r>
        <w:rPr>
          <w:rFonts w:hint="eastAsia"/>
          <w:sz w:val="24"/>
        </w:rPr>
        <w:t>7、中标供应商经营的食堂应自觉接受政府行政管理部门的监管和学校职能部门对食品原材料采购和贮存、原材料采购登记台帐和索证索票、食品加工和销售、食品留样、餐具消毒、饭菜质量、饭菜价格、饭菜品种、服务规范等方面的监督检查，积极配合学校相关部门和学生组织开展工作。</w:t>
      </w:r>
    </w:p>
    <w:p>
      <w:pPr>
        <w:spacing w:line="0" w:lineRule="atLeast"/>
        <w:jc w:val="center"/>
        <w:rPr>
          <w:rFonts w:ascii="Arial" w:hAnsi="Arial" w:cs="Arial"/>
          <w:sz w:val="28"/>
        </w:rPr>
      </w:pPr>
    </w:p>
    <w:sectPr>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Plotter">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gilent TT Cond">
    <w:altName w:val="Arial"/>
    <w:panose1 w:val="00000000000000000000"/>
    <w:charset w:val="00"/>
    <w:family w:val="swiss"/>
    <w:pitch w:val="default"/>
    <w:sig w:usb0="00000000" w:usb1="00000000" w:usb2="00000000" w:usb3="00000000" w:csb0="0000009F" w:csb1="00000000"/>
  </w:font>
  <w:font w:name="Agilent TT CondLight">
    <w:altName w:val="Arial"/>
    <w:panose1 w:val="00000000000000000000"/>
    <w:charset w:val="00"/>
    <w:family w:val="swiss"/>
    <w:pitch w:val="default"/>
    <w:sig w:usb0="00000000" w:usb1="00000000" w:usb2="00000000" w:usb3="00000000" w:csb0="000000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Arial" w:hAnsi="Arial" w:cs="Arial"/>
        <w:sz w:val="24"/>
      </w:rPr>
    </w:pPr>
    <w:r>
      <w:rPr>
        <w:rFonts w:ascii="Arial" w:hAnsi="Arial" w:cs="Arial"/>
        <w:sz w:val="21"/>
        <w:szCs w:val="16"/>
      </w:rPr>
      <w:t>第</w:t>
    </w:r>
    <w:r>
      <w:rPr>
        <w:rFonts w:ascii="Arial" w:hAnsi="Arial" w:cs="Arial"/>
        <w:bCs/>
        <w:sz w:val="21"/>
        <w:szCs w:val="16"/>
      </w:rPr>
      <w:fldChar w:fldCharType="begin"/>
    </w:r>
    <w:r>
      <w:rPr>
        <w:rFonts w:ascii="Arial" w:hAnsi="Arial" w:cs="Arial"/>
        <w:bCs/>
        <w:sz w:val="21"/>
        <w:szCs w:val="16"/>
      </w:rPr>
      <w:instrText xml:space="preserve">PAGE</w:instrText>
    </w:r>
    <w:r>
      <w:rPr>
        <w:rFonts w:ascii="Arial" w:hAnsi="Arial" w:cs="Arial"/>
        <w:bCs/>
        <w:sz w:val="21"/>
        <w:szCs w:val="16"/>
      </w:rPr>
      <w:fldChar w:fldCharType="separate"/>
    </w:r>
    <w:r>
      <w:rPr>
        <w:rFonts w:ascii="Arial" w:hAnsi="Arial" w:cs="Arial"/>
        <w:bCs/>
        <w:sz w:val="21"/>
        <w:szCs w:val="16"/>
      </w:rPr>
      <w:t>6</w:t>
    </w:r>
    <w:r>
      <w:rPr>
        <w:rFonts w:ascii="Arial" w:hAnsi="Arial" w:cs="Arial"/>
        <w:bCs/>
        <w:sz w:val="21"/>
        <w:szCs w:val="16"/>
      </w:rPr>
      <w:fldChar w:fldCharType="end"/>
    </w:r>
    <w:r>
      <w:rPr>
        <w:rFonts w:ascii="Arial" w:hAnsi="Arial" w:cs="Arial"/>
        <w:bCs/>
        <w:sz w:val="21"/>
        <w:szCs w:val="16"/>
      </w:rPr>
      <w:t>页</w:t>
    </w:r>
    <w:r>
      <w:rPr>
        <w:rFonts w:ascii="Arial" w:hAnsi="Arial" w:cs="Arial"/>
        <w:sz w:val="21"/>
        <w:szCs w:val="16"/>
        <w:lang w:val="zh-CN"/>
      </w:rPr>
      <w:t>共57</w:t>
    </w:r>
    <w:r>
      <w:rPr>
        <w:rFonts w:ascii="Arial" w:hAnsi="Arial" w:cs="Arial"/>
        <w:bCs/>
        <w:sz w:val="21"/>
        <w:szCs w:val="16"/>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3028950" cy="2790825"/>
          <wp:effectExtent l="0" t="0" r="0" b="9525"/>
          <wp:wrapNone/>
          <wp:docPr id="7" name="WordPictureWatermark828270800" descr="LOGO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828270800" descr="LOGO_s"/>
                  <pic:cNvPicPr>
                    <a:picLocks noChangeAspect="1"/>
                  </pic:cNvPicPr>
                </pic:nvPicPr>
                <pic:blipFill>
                  <a:blip r:embed="rId1">
                    <a:lum bright="70001" contrast="-70000"/>
                  </a:blip>
                  <a:stretch>
                    <a:fillRect/>
                  </a:stretch>
                </pic:blipFill>
                <pic:spPr>
                  <a:xfrm>
                    <a:off x="0" y="0"/>
                    <a:ext cx="3028950" cy="279082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3028950" cy="2790825"/>
          <wp:effectExtent l="0" t="0" r="0" b="9525"/>
          <wp:wrapNone/>
          <wp:docPr id="6" name="WordPictureWatermark828270799" descr="LOGO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828270799" descr="LOGO_s"/>
                  <pic:cNvPicPr>
                    <a:picLocks noChangeAspect="1"/>
                  </pic:cNvPicPr>
                </pic:nvPicPr>
                <pic:blipFill>
                  <a:blip r:embed="rId1">
                    <a:lum bright="70001" contrast="-70000"/>
                  </a:blip>
                  <a:stretch>
                    <a:fillRect/>
                  </a:stretch>
                </pic:blipFill>
                <pic:spPr>
                  <a:xfrm>
                    <a:off x="0" y="0"/>
                    <a:ext cx="3028950" cy="279082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3FA30A"/>
    <w:multiLevelType w:val="singleLevel"/>
    <w:tmpl w:val="D83FA30A"/>
    <w:lvl w:ilvl="0" w:tentative="0">
      <w:start w:val="1"/>
      <w:numFmt w:val="chineseCounting"/>
      <w:suff w:val="space"/>
      <w:lvlText w:val="第%1条"/>
      <w:lvlJc w:val="left"/>
      <w:rPr>
        <w:rFonts w:hint="eastAsia"/>
      </w:rPr>
    </w:lvl>
  </w:abstractNum>
  <w:abstractNum w:abstractNumId="1">
    <w:nsid w:val="3B560F77"/>
    <w:multiLevelType w:val="multilevel"/>
    <w:tmpl w:val="3B560F77"/>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3D157016"/>
    <w:multiLevelType w:val="singleLevel"/>
    <w:tmpl w:val="3D157016"/>
    <w:lvl w:ilvl="0" w:tentative="0">
      <w:start w:val="7"/>
      <w:numFmt w:val="chineseCounting"/>
      <w:suff w:val="space"/>
      <w:lvlText w:val="第%1条"/>
      <w:lvlJc w:val="left"/>
      <w:rPr>
        <w:rFonts w:hint="eastAsia"/>
      </w:rPr>
    </w:lvl>
  </w:abstractNum>
  <w:abstractNum w:abstractNumId="3">
    <w:nsid w:val="58DD0DEF"/>
    <w:multiLevelType w:val="singleLevel"/>
    <w:tmpl w:val="58DD0DEF"/>
    <w:lvl w:ilvl="0" w:tentative="0">
      <w:start w:val="2"/>
      <w:numFmt w:val="decimal"/>
      <w:suff w:val="nothing"/>
      <w:lvlText w:val="%1、"/>
      <w:lvlJc w:val="left"/>
    </w:lvl>
  </w:abstractNum>
  <w:abstractNum w:abstractNumId="4">
    <w:nsid w:val="6E155B7C"/>
    <w:multiLevelType w:val="multilevel"/>
    <w:tmpl w:val="6E155B7C"/>
    <w:lvl w:ilvl="0" w:tentative="0">
      <w:start w:val="1"/>
      <w:numFmt w:val="decimal"/>
      <w:suff w:val="nothing"/>
      <w:lvlText w:val="%1"/>
      <w:lvlJc w:val="left"/>
      <w:pPr>
        <w:ind w:left="845"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6141F"/>
    <w:rsid w:val="00000257"/>
    <w:rsid w:val="000006A9"/>
    <w:rsid w:val="00001EAA"/>
    <w:rsid w:val="00002A73"/>
    <w:rsid w:val="000033CF"/>
    <w:rsid w:val="000047BC"/>
    <w:rsid w:val="00004DB1"/>
    <w:rsid w:val="00006000"/>
    <w:rsid w:val="00011D51"/>
    <w:rsid w:val="000125C6"/>
    <w:rsid w:val="00014D71"/>
    <w:rsid w:val="0001538F"/>
    <w:rsid w:val="000156F8"/>
    <w:rsid w:val="00016334"/>
    <w:rsid w:val="00021E2E"/>
    <w:rsid w:val="00021FB7"/>
    <w:rsid w:val="00023682"/>
    <w:rsid w:val="00024952"/>
    <w:rsid w:val="00025311"/>
    <w:rsid w:val="000258E6"/>
    <w:rsid w:val="000264EF"/>
    <w:rsid w:val="000320AB"/>
    <w:rsid w:val="00033E60"/>
    <w:rsid w:val="000344D7"/>
    <w:rsid w:val="0003550D"/>
    <w:rsid w:val="00036308"/>
    <w:rsid w:val="00036C1C"/>
    <w:rsid w:val="00037AA8"/>
    <w:rsid w:val="00042925"/>
    <w:rsid w:val="000435D1"/>
    <w:rsid w:val="00043B54"/>
    <w:rsid w:val="00046940"/>
    <w:rsid w:val="00046F6E"/>
    <w:rsid w:val="00047168"/>
    <w:rsid w:val="000536E7"/>
    <w:rsid w:val="00053AA2"/>
    <w:rsid w:val="00054B73"/>
    <w:rsid w:val="000569B9"/>
    <w:rsid w:val="000573D4"/>
    <w:rsid w:val="0005751B"/>
    <w:rsid w:val="00061181"/>
    <w:rsid w:val="00063E6C"/>
    <w:rsid w:val="000647B9"/>
    <w:rsid w:val="00065376"/>
    <w:rsid w:val="00066D09"/>
    <w:rsid w:val="00070902"/>
    <w:rsid w:val="000713FF"/>
    <w:rsid w:val="00072E3E"/>
    <w:rsid w:val="00075A7F"/>
    <w:rsid w:val="00076C60"/>
    <w:rsid w:val="0007712A"/>
    <w:rsid w:val="00080604"/>
    <w:rsid w:val="0008222F"/>
    <w:rsid w:val="000835B5"/>
    <w:rsid w:val="00083B3D"/>
    <w:rsid w:val="00083CAF"/>
    <w:rsid w:val="00087407"/>
    <w:rsid w:val="000927A1"/>
    <w:rsid w:val="00093978"/>
    <w:rsid w:val="00095916"/>
    <w:rsid w:val="00096EEE"/>
    <w:rsid w:val="000A02F9"/>
    <w:rsid w:val="000A20E6"/>
    <w:rsid w:val="000A35E4"/>
    <w:rsid w:val="000A448D"/>
    <w:rsid w:val="000A5C6E"/>
    <w:rsid w:val="000A75FB"/>
    <w:rsid w:val="000A7F2F"/>
    <w:rsid w:val="000B0E23"/>
    <w:rsid w:val="000B1C6D"/>
    <w:rsid w:val="000B55EC"/>
    <w:rsid w:val="000B7FA5"/>
    <w:rsid w:val="000C0C40"/>
    <w:rsid w:val="000C1444"/>
    <w:rsid w:val="000C1610"/>
    <w:rsid w:val="000C2D63"/>
    <w:rsid w:val="000C3295"/>
    <w:rsid w:val="000C3FAC"/>
    <w:rsid w:val="000C4BD6"/>
    <w:rsid w:val="000C5427"/>
    <w:rsid w:val="000C6C21"/>
    <w:rsid w:val="000D060E"/>
    <w:rsid w:val="000D0E42"/>
    <w:rsid w:val="000D0E58"/>
    <w:rsid w:val="000D2D75"/>
    <w:rsid w:val="000D598B"/>
    <w:rsid w:val="000D791E"/>
    <w:rsid w:val="000E5D33"/>
    <w:rsid w:val="000F01CA"/>
    <w:rsid w:val="000F1361"/>
    <w:rsid w:val="000F1B54"/>
    <w:rsid w:val="000F1DB7"/>
    <w:rsid w:val="000F2A06"/>
    <w:rsid w:val="000F2B78"/>
    <w:rsid w:val="000F35EF"/>
    <w:rsid w:val="000F4062"/>
    <w:rsid w:val="000F4E3B"/>
    <w:rsid w:val="000F6110"/>
    <w:rsid w:val="00100260"/>
    <w:rsid w:val="00100B38"/>
    <w:rsid w:val="00100C5C"/>
    <w:rsid w:val="00102E84"/>
    <w:rsid w:val="00103317"/>
    <w:rsid w:val="00104218"/>
    <w:rsid w:val="00105DEF"/>
    <w:rsid w:val="0010798E"/>
    <w:rsid w:val="001101FA"/>
    <w:rsid w:val="00110965"/>
    <w:rsid w:val="00111C03"/>
    <w:rsid w:val="0011281A"/>
    <w:rsid w:val="00113163"/>
    <w:rsid w:val="00114178"/>
    <w:rsid w:val="0011461B"/>
    <w:rsid w:val="00115A66"/>
    <w:rsid w:val="001177C6"/>
    <w:rsid w:val="001206A9"/>
    <w:rsid w:val="00120E7C"/>
    <w:rsid w:val="0012185A"/>
    <w:rsid w:val="001227B7"/>
    <w:rsid w:val="0012350D"/>
    <w:rsid w:val="00123F47"/>
    <w:rsid w:val="00125147"/>
    <w:rsid w:val="00126BDF"/>
    <w:rsid w:val="001272C6"/>
    <w:rsid w:val="00127DE7"/>
    <w:rsid w:val="001303CC"/>
    <w:rsid w:val="00132192"/>
    <w:rsid w:val="00133612"/>
    <w:rsid w:val="0013718D"/>
    <w:rsid w:val="00137C3D"/>
    <w:rsid w:val="00143B37"/>
    <w:rsid w:val="00145DA9"/>
    <w:rsid w:val="00146394"/>
    <w:rsid w:val="00150118"/>
    <w:rsid w:val="00150B07"/>
    <w:rsid w:val="00153A3C"/>
    <w:rsid w:val="00156593"/>
    <w:rsid w:val="001643A6"/>
    <w:rsid w:val="00165942"/>
    <w:rsid w:val="00166720"/>
    <w:rsid w:val="00166FDC"/>
    <w:rsid w:val="0017042D"/>
    <w:rsid w:val="001709E8"/>
    <w:rsid w:val="00170C7F"/>
    <w:rsid w:val="0017223D"/>
    <w:rsid w:val="00172BFC"/>
    <w:rsid w:val="00175441"/>
    <w:rsid w:val="00177A37"/>
    <w:rsid w:val="00180967"/>
    <w:rsid w:val="00182C0E"/>
    <w:rsid w:val="00182F8E"/>
    <w:rsid w:val="0018344B"/>
    <w:rsid w:val="00184145"/>
    <w:rsid w:val="0018611D"/>
    <w:rsid w:val="00186143"/>
    <w:rsid w:val="00186EC1"/>
    <w:rsid w:val="00187739"/>
    <w:rsid w:val="0019033A"/>
    <w:rsid w:val="001936B9"/>
    <w:rsid w:val="001952D4"/>
    <w:rsid w:val="00197256"/>
    <w:rsid w:val="001977D1"/>
    <w:rsid w:val="001A2983"/>
    <w:rsid w:val="001A2B5D"/>
    <w:rsid w:val="001A2C3C"/>
    <w:rsid w:val="001A353A"/>
    <w:rsid w:val="001A4372"/>
    <w:rsid w:val="001B3D14"/>
    <w:rsid w:val="001B58A6"/>
    <w:rsid w:val="001B7541"/>
    <w:rsid w:val="001B7970"/>
    <w:rsid w:val="001C06F9"/>
    <w:rsid w:val="001C14B8"/>
    <w:rsid w:val="001C186E"/>
    <w:rsid w:val="001C2339"/>
    <w:rsid w:val="001C24F8"/>
    <w:rsid w:val="001C2BB4"/>
    <w:rsid w:val="001C4A81"/>
    <w:rsid w:val="001C5712"/>
    <w:rsid w:val="001C5E86"/>
    <w:rsid w:val="001C723D"/>
    <w:rsid w:val="001D0F9B"/>
    <w:rsid w:val="001D2F0E"/>
    <w:rsid w:val="001D5ADB"/>
    <w:rsid w:val="001E0B78"/>
    <w:rsid w:val="001E1CB2"/>
    <w:rsid w:val="001E4CBD"/>
    <w:rsid w:val="001F0663"/>
    <w:rsid w:val="001F0A05"/>
    <w:rsid w:val="001F0BAA"/>
    <w:rsid w:val="001F35F5"/>
    <w:rsid w:val="001F37FA"/>
    <w:rsid w:val="001F4002"/>
    <w:rsid w:val="001F406E"/>
    <w:rsid w:val="001F5775"/>
    <w:rsid w:val="001F76FF"/>
    <w:rsid w:val="00201DFC"/>
    <w:rsid w:val="002064C5"/>
    <w:rsid w:val="00213FEE"/>
    <w:rsid w:val="002141F6"/>
    <w:rsid w:val="00214F1B"/>
    <w:rsid w:val="00215A5A"/>
    <w:rsid w:val="00216795"/>
    <w:rsid w:val="00216DCE"/>
    <w:rsid w:val="00216FF0"/>
    <w:rsid w:val="002176ED"/>
    <w:rsid w:val="002177C2"/>
    <w:rsid w:val="00217ECF"/>
    <w:rsid w:val="00220338"/>
    <w:rsid w:val="00222A84"/>
    <w:rsid w:val="00225426"/>
    <w:rsid w:val="00225B41"/>
    <w:rsid w:val="0022723D"/>
    <w:rsid w:val="00231B0F"/>
    <w:rsid w:val="0023266E"/>
    <w:rsid w:val="00232EB4"/>
    <w:rsid w:val="0023362B"/>
    <w:rsid w:val="00233E37"/>
    <w:rsid w:val="00234D1F"/>
    <w:rsid w:val="00235B38"/>
    <w:rsid w:val="00236A22"/>
    <w:rsid w:val="002374CA"/>
    <w:rsid w:val="00241DCA"/>
    <w:rsid w:val="0024371A"/>
    <w:rsid w:val="0024574D"/>
    <w:rsid w:val="00245F8E"/>
    <w:rsid w:val="00246836"/>
    <w:rsid w:val="00246C4F"/>
    <w:rsid w:val="0025022B"/>
    <w:rsid w:val="0025087B"/>
    <w:rsid w:val="0025138E"/>
    <w:rsid w:val="002523A4"/>
    <w:rsid w:val="0025311D"/>
    <w:rsid w:val="00253B9C"/>
    <w:rsid w:val="00255625"/>
    <w:rsid w:val="00260E35"/>
    <w:rsid w:val="0026182F"/>
    <w:rsid w:val="002667F9"/>
    <w:rsid w:val="00266D4F"/>
    <w:rsid w:val="00270576"/>
    <w:rsid w:val="002718D1"/>
    <w:rsid w:val="00273076"/>
    <w:rsid w:val="00274F25"/>
    <w:rsid w:val="0027571C"/>
    <w:rsid w:val="00276048"/>
    <w:rsid w:val="00280139"/>
    <w:rsid w:val="002801EB"/>
    <w:rsid w:val="00280B31"/>
    <w:rsid w:val="00280BD6"/>
    <w:rsid w:val="00281DE3"/>
    <w:rsid w:val="002822A6"/>
    <w:rsid w:val="00284817"/>
    <w:rsid w:val="00287A4B"/>
    <w:rsid w:val="0029078C"/>
    <w:rsid w:val="00294D72"/>
    <w:rsid w:val="00295404"/>
    <w:rsid w:val="002956E2"/>
    <w:rsid w:val="00295AB3"/>
    <w:rsid w:val="00295D0B"/>
    <w:rsid w:val="002961C7"/>
    <w:rsid w:val="00296C5A"/>
    <w:rsid w:val="002A1BE4"/>
    <w:rsid w:val="002A2134"/>
    <w:rsid w:val="002A2421"/>
    <w:rsid w:val="002A3BDD"/>
    <w:rsid w:val="002A4297"/>
    <w:rsid w:val="002A6A88"/>
    <w:rsid w:val="002A6B92"/>
    <w:rsid w:val="002B0A3A"/>
    <w:rsid w:val="002B0DD6"/>
    <w:rsid w:val="002B1379"/>
    <w:rsid w:val="002B2E87"/>
    <w:rsid w:val="002B5A38"/>
    <w:rsid w:val="002B5E60"/>
    <w:rsid w:val="002C55AE"/>
    <w:rsid w:val="002C58C3"/>
    <w:rsid w:val="002C5945"/>
    <w:rsid w:val="002C5B8C"/>
    <w:rsid w:val="002C7EB6"/>
    <w:rsid w:val="002D53B2"/>
    <w:rsid w:val="002D5E55"/>
    <w:rsid w:val="002D6E47"/>
    <w:rsid w:val="002D7561"/>
    <w:rsid w:val="002E19AA"/>
    <w:rsid w:val="002E22B0"/>
    <w:rsid w:val="002E7CDA"/>
    <w:rsid w:val="002F0730"/>
    <w:rsid w:val="002F153B"/>
    <w:rsid w:val="002F1612"/>
    <w:rsid w:val="002F330F"/>
    <w:rsid w:val="002F6A60"/>
    <w:rsid w:val="00300163"/>
    <w:rsid w:val="00300725"/>
    <w:rsid w:val="00300919"/>
    <w:rsid w:val="00301BFC"/>
    <w:rsid w:val="003044B1"/>
    <w:rsid w:val="003054E6"/>
    <w:rsid w:val="003056A3"/>
    <w:rsid w:val="0031028D"/>
    <w:rsid w:val="00315AED"/>
    <w:rsid w:val="00316BFB"/>
    <w:rsid w:val="00317160"/>
    <w:rsid w:val="003175B1"/>
    <w:rsid w:val="00324502"/>
    <w:rsid w:val="00325886"/>
    <w:rsid w:val="00327ABE"/>
    <w:rsid w:val="00330A3E"/>
    <w:rsid w:val="00330B1D"/>
    <w:rsid w:val="00330B8C"/>
    <w:rsid w:val="00332D0F"/>
    <w:rsid w:val="00333466"/>
    <w:rsid w:val="003335D3"/>
    <w:rsid w:val="003349A1"/>
    <w:rsid w:val="003376FD"/>
    <w:rsid w:val="00341B47"/>
    <w:rsid w:val="00343C08"/>
    <w:rsid w:val="00344159"/>
    <w:rsid w:val="00345734"/>
    <w:rsid w:val="00346895"/>
    <w:rsid w:val="00346EB1"/>
    <w:rsid w:val="00347864"/>
    <w:rsid w:val="00347BB5"/>
    <w:rsid w:val="003505A3"/>
    <w:rsid w:val="00351204"/>
    <w:rsid w:val="00354141"/>
    <w:rsid w:val="00360B8D"/>
    <w:rsid w:val="00361BEF"/>
    <w:rsid w:val="003625F6"/>
    <w:rsid w:val="003627A7"/>
    <w:rsid w:val="00363189"/>
    <w:rsid w:val="00363BFE"/>
    <w:rsid w:val="003644D7"/>
    <w:rsid w:val="00364E69"/>
    <w:rsid w:val="00365262"/>
    <w:rsid w:val="00365F1F"/>
    <w:rsid w:val="003710F8"/>
    <w:rsid w:val="003712DD"/>
    <w:rsid w:val="00371469"/>
    <w:rsid w:val="00372858"/>
    <w:rsid w:val="00374B89"/>
    <w:rsid w:val="00375E41"/>
    <w:rsid w:val="003811E4"/>
    <w:rsid w:val="00381315"/>
    <w:rsid w:val="00381E77"/>
    <w:rsid w:val="003833D9"/>
    <w:rsid w:val="0038350C"/>
    <w:rsid w:val="0038627D"/>
    <w:rsid w:val="00387FE3"/>
    <w:rsid w:val="003903E1"/>
    <w:rsid w:val="003911B8"/>
    <w:rsid w:val="003920C7"/>
    <w:rsid w:val="00394C6F"/>
    <w:rsid w:val="00395C90"/>
    <w:rsid w:val="00396133"/>
    <w:rsid w:val="003A01CD"/>
    <w:rsid w:val="003A1CF4"/>
    <w:rsid w:val="003A2065"/>
    <w:rsid w:val="003A2406"/>
    <w:rsid w:val="003A28B5"/>
    <w:rsid w:val="003B08C1"/>
    <w:rsid w:val="003B09B8"/>
    <w:rsid w:val="003B0A96"/>
    <w:rsid w:val="003B311C"/>
    <w:rsid w:val="003B3D07"/>
    <w:rsid w:val="003B6026"/>
    <w:rsid w:val="003C0316"/>
    <w:rsid w:val="003C292E"/>
    <w:rsid w:val="003C3E99"/>
    <w:rsid w:val="003C4DA8"/>
    <w:rsid w:val="003C6BFE"/>
    <w:rsid w:val="003D1473"/>
    <w:rsid w:val="003D4A88"/>
    <w:rsid w:val="003D5744"/>
    <w:rsid w:val="003D57C0"/>
    <w:rsid w:val="003D63E8"/>
    <w:rsid w:val="003D77A7"/>
    <w:rsid w:val="003E05D4"/>
    <w:rsid w:val="003E1CBA"/>
    <w:rsid w:val="003E4919"/>
    <w:rsid w:val="003E5F0F"/>
    <w:rsid w:val="003E6404"/>
    <w:rsid w:val="003F0025"/>
    <w:rsid w:val="003F16F3"/>
    <w:rsid w:val="003F318C"/>
    <w:rsid w:val="003F40F7"/>
    <w:rsid w:val="003F474B"/>
    <w:rsid w:val="003F4C13"/>
    <w:rsid w:val="003F4D37"/>
    <w:rsid w:val="004000C9"/>
    <w:rsid w:val="00401E77"/>
    <w:rsid w:val="00402357"/>
    <w:rsid w:val="0040467A"/>
    <w:rsid w:val="004046C6"/>
    <w:rsid w:val="0040675F"/>
    <w:rsid w:val="00406950"/>
    <w:rsid w:val="004114FA"/>
    <w:rsid w:val="00412FEF"/>
    <w:rsid w:val="0041564E"/>
    <w:rsid w:val="00415674"/>
    <w:rsid w:val="004156B6"/>
    <w:rsid w:val="00416AB9"/>
    <w:rsid w:val="0041746D"/>
    <w:rsid w:val="00417852"/>
    <w:rsid w:val="00417E20"/>
    <w:rsid w:val="00420825"/>
    <w:rsid w:val="00421CB7"/>
    <w:rsid w:val="00422272"/>
    <w:rsid w:val="00423A04"/>
    <w:rsid w:val="00425458"/>
    <w:rsid w:val="00427011"/>
    <w:rsid w:val="0042717D"/>
    <w:rsid w:val="004278B1"/>
    <w:rsid w:val="00427D7B"/>
    <w:rsid w:val="00430B68"/>
    <w:rsid w:val="0043107D"/>
    <w:rsid w:val="00433C90"/>
    <w:rsid w:val="0043568C"/>
    <w:rsid w:val="004363CD"/>
    <w:rsid w:val="004366A0"/>
    <w:rsid w:val="00437807"/>
    <w:rsid w:val="00441324"/>
    <w:rsid w:val="00443F3E"/>
    <w:rsid w:val="00444527"/>
    <w:rsid w:val="004466A7"/>
    <w:rsid w:val="00446E73"/>
    <w:rsid w:val="00447C94"/>
    <w:rsid w:val="004526D6"/>
    <w:rsid w:val="00453F37"/>
    <w:rsid w:val="00455C3E"/>
    <w:rsid w:val="00455E05"/>
    <w:rsid w:val="0046114E"/>
    <w:rsid w:val="00461AAA"/>
    <w:rsid w:val="00461BFE"/>
    <w:rsid w:val="00462DD5"/>
    <w:rsid w:val="004636E7"/>
    <w:rsid w:val="004644CA"/>
    <w:rsid w:val="0047083E"/>
    <w:rsid w:val="00470D4C"/>
    <w:rsid w:val="00472CE4"/>
    <w:rsid w:val="0047329E"/>
    <w:rsid w:val="004748D2"/>
    <w:rsid w:val="00475961"/>
    <w:rsid w:val="00477883"/>
    <w:rsid w:val="0048233E"/>
    <w:rsid w:val="00485564"/>
    <w:rsid w:val="00485DD2"/>
    <w:rsid w:val="004863A7"/>
    <w:rsid w:val="0048723F"/>
    <w:rsid w:val="004904DD"/>
    <w:rsid w:val="00490EA3"/>
    <w:rsid w:val="00491857"/>
    <w:rsid w:val="00492FCB"/>
    <w:rsid w:val="004A06A6"/>
    <w:rsid w:val="004A245F"/>
    <w:rsid w:val="004A4D51"/>
    <w:rsid w:val="004A7145"/>
    <w:rsid w:val="004A7CD2"/>
    <w:rsid w:val="004B11A8"/>
    <w:rsid w:val="004B39A2"/>
    <w:rsid w:val="004B3D50"/>
    <w:rsid w:val="004B5196"/>
    <w:rsid w:val="004B689B"/>
    <w:rsid w:val="004B6B4F"/>
    <w:rsid w:val="004B7881"/>
    <w:rsid w:val="004B7B16"/>
    <w:rsid w:val="004C19DE"/>
    <w:rsid w:val="004C2007"/>
    <w:rsid w:val="004C26B3"/>
    <w:rsid w:val="004C2F62"/>
    <w:rsid w:val="004C2FAC"/>
    <w:rsid w:val="004C417E"/>
    <w:rsid w:val="004C451E"/>
    <w:rsid w:val="004C5376"/>
    <w:rsid w:val="004C5673"/>
    <w:rsid w:val="004C65F6"/>
    <w:rsid w:val="004C7608"/>
    <w:rsid w:val="004D071E"/>
    <w:rsid w:val="004D11FA"/>
    <w:rsid w:val="004D17BD"/>
    <w:rsid w:val="004D21AF"/>
    <w:rsid w:val="004D2317"/>
    <w:rsid w:val="004D2F10"/>
    <w:rsid w:val="004D42FC"/>
    <w:rsid w:val="004D4C1B"/>
    <w:rsid w:val="004D551F"/>
    <w:rsid w:val="004D59AB"/>
    <w:rsid w:val="004E2DDB"/>
    <w:rsid w:val="004E2FC6"/>
    <w:rsid w:val="004E4912"/>
    <w:rsid w:val="004E5529"/>
    <w:rsid w:val="004E7A23"/>
    <w:rsid w:val="004F17BD"/>
    <w:rsid w:val="004F4736"/>
    <w:rsid w:val="004F49ED"/>
    <w:rsid w:val="004F4D5C"/>
    <w:rsid w:val="004F567D"/>
    <w:rsid w:val="004F5B27"/>
    <w:rsid w:val="004F7089"/>
    <w:rsid w:val="00502EC7"/>
    <w:rsid w:val="005034B8"/>
    <w:rsid w:val="0050557A"/>
    <w:rsid w:val="00505B88"/>
    <w:rsid w:val="005060EA"/>
    <w:rsid w:val="00506FF5"/>
    <w:rsid w:val="00512B22"/>
    <w:rsid w:val="00513105"/>
    <w:rsid w:val="00515E0A"/>
    <w:rsid w:val="005170D5"/>
    <w:rsid w:val="0052120D"/>
    <w:rsid w:val="00521214"/>
    <w:rsid w:val="00521428"/>
    <w:rsid w:val="005230CA"/>
    <w:rsid w:val="00523494"/>
    <w:rsid w:val="0052367F"/>
    <w:rsid w:val="00523DAB"/>
    <w:rsid w:val="00525FD8"/>
    <w:rsid w:val="00531A7C"/>
    <w:rsid w:val="00531D1F"/>
    <w:rsid w:val="0053305B"/>
    <w:rsid w:val="00533174"/>
    <w:rsid w:val="00534579"/>
    <w:rsid w:val="00535AE0"/>
    <w:rsid w:val="00535B52"/>
    <w:rsid w:val="00536188"/>
    <w:rsid w:val="00541A2F"/>
    <w:rsid w:val="005422CE"/>
    <w:rsid w:val="00543ABC"/>
    <w:rsid w:val="00544477"/>
    <w:rsid w:val="00545F29"/>
    <w:rsid w:val="0054636F"/>
    <w:rsid w:val="00546464"/>
    <w:rsid w:val="0055053C"/>
    <w:rsid w:val="00550579"/>
    <w:rsid w:val="00550A0F"/>
    <w:rsid w:val="0055170F"/>
    <w:rsid w:val="00551CCD"/>
    <w:rsid w:val="00552653"/>
    <w:rsid w:val="00554048"/>
    <w:rsid w:val="005549F4"/>
    <w:rsid w:val="00555375"/>
    <w:rsid w:val="005605E0"/>
    <w:rsid w:val="005605F3"/>
    <w:rsid w:val="00562055"/>
    <w:rsid w:val="005638E5"/>
    <w:rsid w:val="005678D0"/>
    <w:rsid w:val="0057288F"/>
    <w:rsid w:val="00572B04"/>
    <w:rsid w:val="00573755"/>
    <w:rsid w:val="00573A39"/>
    <w:rsid w:val="005740F4"/>
    <w:rsid w:val="00575953"/>
    <w:rsid w:val="00581C44"/>
    <w:rsid w:val="00581DCA"/>
    <w:rsid w:val="00583388"/>
    <w:rsid w:val="00583A94"/>
    <w:rsid w:val="005849FC"/>
    <w:rsid w:val="005873E5"/>
    <w:rsid w:val="00591024"/>
    <w:rsid w:val="0059255A"/>
    <w:rsid w:val="005941A5"/>
    <w:rsid w:val="00595E23"/>
    <w:rsid w:val="005975D8"/>
    <w:rsid w:val="00597BA6"/>
    <w:rsid w:val="005A0666"/>
    <w:rsid w:val="005A2263"/>
    <w:rsid w:val="005A3E4D"/>
    <w:rsid w:val="005A437B"/>
    <w:rsid w:val="005A6DA6"/>
    <w:rsid w:val="005B0776"/>
    <w:rsid w:val="005B0D35"/>
    <w:rsid w:val="005B1262"/>
    <w:rsid w:val="005B2C5D"/>
    <w:rsid w:val="005B3073"/>
    <w:rsid w:val="005B312D"/>
    <w:rsid w:val="005C1001"/>
    <w:rsid w:val="005C161F"/>
    <w:rsid w:val="005C2386"/>
    <w:rsid w:val="005C2B11"/>
    <w:rsid w:val="005C4464"/>
    <w:rsid w:val="005C6AF7"/>
    <w:rsid w:val="005D09FF"/>
    <w:rsid w:val="005D3E66"/>
    <w:rsid w:val="005D400E"/>
    <w:rsid w:val="005D67B2"/>
    <w:rsid w:val="005D6A73"/>
    <w:rsid w:val="005E1683"/>
    <w:rsid w:val="005E2944"/>
    <w:rsid w:val="005E31DA"/>
    <w:rsid w:val="005E4006"/>
    <w:rsid w:val="005E45BA"/>
    <w:rsid w:val="005E6DED"/>
    <w:rsid w:val="005F0225"/>
    <w:rsid w:val="005F2BB4"/>
    <w:rsid w:val="005F33A7"/>
    <w:rsid w:val="005F38A5"/>
    <w:rsid w:val="005F4E07"/>
    <w:rsid w:val="005F67F0"/>
    <w:rsid w:val="005F69C3"/>
    <w:rsid w:val="005F6FDB"/>
    <w:rsid w:val="005F717D"/>
    <w:rsid w:val="005F76E5"/>
    <w:rsid w:val="005F7B34"/>
    <w:rsid w:val="005F7FB8"/>
    <w:rsid w:val="00601BEC"/>
    <w:rsid w:val="00602081"/>
    <w:rsid w:val="00602F12"/>
    <w:rsid w:val="00603924"/>
    <w:rsid w:val="00604E57"/>
    <w:rsid w:val="00607BEE"/>
    <w:rsid w:val="00610E02"/>
    <w:rsid w:val="00610EB1"/>
    <w:rsid w:val="0061187A"/>
    <w:rsid w:val="00614896"/>
    <w:rsid w:val="00614AE6"/>
    <w:rsid w:val="00615E50"/>
    <w:rsid w:val="00616796"/>
    <w:rsid w:val="006176B3"/>
    <w:rsid w:val="006200E1"/>
    <w:rsid w:val="0062147F"/>
    <w:rsid w:val="00622217"/>
    <w:rsid w:val="0062430C"/>
    <w:rsid w:val="006250B3"/>
    <w:rsid w:val="00625C1E"/>
    <w:rsid w:val="00625C88"/>
    <w:rsid w:val="006279A7"/>
    <w:rsid w:val="00630706"/>
    <w:rsid w:val="006307AF"/>
    <w:rsid w:val="00632047"/>
    <w:rsid w:val="00632E76"/>
    <w:rsid w:val="00634862"/>
    <w:rsid w:val="00634F7B"/>
    <w:rsid w:val="006352CA"/>
    <w:rsid w:val="00636563"/>
    <w:rsid w:val="006365C1"/>
    <w:rsid w:val="00640C31"/>
    <w:rsid w:val="006410AD"/>
    <w:rsid w:val="00641962"/>
    <w:rsid w:val="00641A5C"/>
    <w:rsid w:val="006421F1"/>
    <w:rsid w:val="00642D32"/>
    <w:rsid w:val="00643D87"/>
    <w:rsid w:val="006453DF"/>
    <w:rsid w:val="00645812"/>
    <w:rsid w:val="00652B90"/>
    <w:rsid w:val="006533DD"/>
    <w:rsid w:val="00653751"/>
    <w:rsid w:val="00653D1C"/>
    <w:rsid w:val="00655C26"/>
    <w:rsid w:val="006612B7"/>
    <w:rsid w:val="0066167F"/>
    <w:rsid w:val="006639E5"/>
    <w:rsid w:val="006657C1"/>
    <w:rsid w:val="00666D5A"/>
    <w:rsid w:val="0066761F"/>
    <w:rsid w:val="00671FC6"/>
    <w:rsid w:val="00671FD7"/>
    <w:rsid w:val="00672B70"/>
    <w:rsid w:val="00672E43"/>
    <w:rsid w:val="006746C4"/>
    <w:rsid w:val="00676036"/>
    <w:rsid w:val="00677283"/>
    <w:rsid w:val="00677955"/>
    <w:rsid w:val="0068091B"/>
    <w:rsid w:val="006839FF"/>
    <w:rsid w:val="00683C43"/>
    <w:rsid w:val="00686E5D"/>
    <w:rsid w:val="00691383"/>
    <w:rsid w:val="006913BD"/>
    <w:rsid w:val="0069184E"/>
    <w:rsid w:val="00691D71"/>
    <w:rsid w:val="00691F36"/>
    <w:rsid w:val="0069305B"/>
    <w:rsid w:val="0069310E"/>
    <w:rsid w:val="006957AE"/>
    <w:rsid w:val="00697D08"/>
    <w:rsid w:val="006A16F5"/>
    <w:rsid w:val="006A19E4"/>
    <w:rsid w:val="006A2462"/>
    <w:rsid w:val="006A3672"/>
    <w:rsid w:val="006A483E"/>
    <w:rsid w:val="006A52E9"/>
    <w:rsid w:val="006A5CA7"/>
    <w:rsid w:val="006A7777"/>
    <w:rsid w:val="006A7E89"/>
    <w:rsid w:val="006B03EF"/>
    <w:rsid w:val="006B1075"/>
    <w:rsid w:val="006B1196"/>
    <w:rsid w:val="006B13FC"/>
    <w:rsid w:val="006B1B37"/>
    <w:rsid w:val="006B2447"/>
    <w:rsid w:val="006B42A4"/>
    <w:rsid w:val="006B6B4C"/>
    <w:rsid w:val="006C0068"/>
    <w:rsid w:val="006C0AB3"/>
    <w:rsid w:val="006C1529"/>
    <w:rsid w:val="006C225C"/>
    <w:rsid w:val="006C4266"/>
    <w:rsid w:val="006C46C8"/>
    <w:rsid w:val="006C491A"/>
    <w:rsid w:val="006C6589"/>
    <w:rsid w:val="006D0332"/>
    <w:rsid w:val="006D0653"/>
    <w:rsid w:val="006D0E7B"/>
    <w:rsid w:val="006D19CD"/>
    <w:rsid w:val="006D2729"/>
    <w:rsid w:val="006D6068"/>
    <w:rsid w:val="006D6B79"/>
    <w:rsid w:val="006E124F"/>
    <w:rsid w:val="006E1873"/>
    <w:rsid w:val="006E3328"/>
    <w:rsid w:val="006E358F"/>
    <w:rsid w:val="006E362B"/>
    <w:rsid w:val="006E3636"/>
    <w:rsid w:val="006E6BF1"/>
    <w:rsid w:val="006F21E2"/>
    <w:rsid w:val="006F325E"/>
    <w:rsid w:val="006F3481"/>
    <w:rsid w:val="006F4001"/>
    <w:rsid w:val="006F7F80"/>
    <w:rsid w:val="00701E30"/>
    <w:rsid w:val="00703C37"/>
    <w:rsid w:val="00703E19"/>
    <w:rsid w:val="00704718"/>
    <w:rsid w:val="00704E87"/>
    <w:rsid w:val="007052C1"/>
    <w:rsid w:val="00705D1E"/>
    <w:rsid w:val="007060F3"/>
    <w:rsid w:val="0070762E"/>
    <w:rsid w:val="00707715"/>
    <w:rsid w:val="007118CF"/>
    <w:rsid w:val="00711E29"/>
    <w:rsid w:val="00714D75"/>
    <w:rsid w:val="00714F57"/>
    <w:rsid w:val="00716B5C"/>
    <w:rsid w:val="0072008C"/>
    <w:rsid w:val="00720391"/>
    <w:rsid w:val="0072142F"/>
    <w:rsid w:val="007222B1"/>
    <w:rsid w:val="007227C6"/>
    <w:rsid w:val="00723BCB"/>
    <w:rsid w:val="0072574A"/>
    <w:rsid w:val="00725D9C"/>
    <w:rsid w:val="00727048"/>
    <w:rsid w:val="007270FA"/>
    <w:rsid w:val="0073250C"/>
    <w:rsid w:val="00732C14"/>
    <w:rsid w:val="00735961"/>
    <w:rsid w:val="00735982"/>
    <w:rsid w:val="00736059"/>
    <w:rsid w:val="007363AB"/>
    <w:rsid w:val="00736E48"/>
    <w:rsid w:val="00740243"/>
    <w:rsid w:val="00740713"/>
    <w:rsid w:val="007407A6"/>
    <w:rsid w:val="00740AEF"/>
    <w:rsid w:val="00740EB6"/>
    <w:rsid w:val="007412B6"/>
    <w:rsid w:val="00743A9E"/>
    <w:rsid w:val="0074435C"/>
    <w:rsid w:val="0074463D"/>
    <w:rsid w:val="00747CAF"/>
    <w:rsid w:val="00747EDA"/>
    <w:rsid w:val="007507F8"/>
    <w:rsid w:val="00751C06"/>
    <w:rsid w:val="007523E8"/>
    <w:rsid w:val="007527C5"/>
    <w:rsid w:val="00752E97"/>
    <w:rsid w:val="00756303"/>
    <w:rsid w:val="00757AD4"/>
    <w:rsid w:val="00760348"/>
    <w:rsid w:val="00760ABB"/>
    <w:rsid w:val="00761382"/>
    <w:rsid w:val="007622CD"/>
    <w:rsid w:val="00762D1A"/>
    <w:rsid w:val="007639AF"/>
    <w:rsid w:val="00763AC5"/>
    <w:rsid w:val="00764181"/>
    <w:rsid w:val="007647D5"/>
    <w:rsid w:val="00766C61"/>
    <w:rsid w:val="007673ED"/>
    <w:rsid w:val="0076771F"/>
    <w:rsid w:val="00767D9E"/>
    <w:rsid w:val="007709BF"/>
    <w:rsid w:val="007709D8"/>
    <w:rsid w:val="007733D3"/>
    <w:rsid w:val="00777763"/>
    <w:rsid w:val="0077777A"/>
    <w:rsid w:val="00781E14"/>
    <w:rsid w:val="0078240B"/>
    <w:rsid w:val="00783114"/>
    <w:rsid w:val="0078331F"/>
    <w:rsid w:val="00783895"/>
    <w:rsid w:val="00784B76"/>
    <w:rsid w:val="0078567A"/>
    <w:rsid w:val="00785C6D"/>
    <w:rsid w:val="00787F9B"/>
    <w:rsid w:val="0079005A"/>
    <w:rsid w:val="0079207D"/>
    <w:rsid w:val="00792E9F"/>
    <w:rsid w:val="00793898"/>
    <w:rsid w:val="00793C0C"/>
    <w:rsid w:val="00795AE3"/>
    <w:rsid w:val="00795B60"/>
    <w:rsid w:val="007967B5"/>
    <w:rsid w:val="00797F36"/>
    <w:rsid w:val="007A2337"/>
    <w:rsid w:val="007A2CE1"/>
    <w:rsid w:val="007A3994"/>
    <w:rsid w:val="007A47B1"/>
    <w:rsid w:val="007A6A22"/>
    <w:rsid w:val="007A70A4"/>
    <w:rsid w:val="007A7203"/>
    <w:rsid w:val="007B0C81"/>
    <w:rsid w:val="007B28B6"/>
    <w:rsid w:val="007B539F"/>
    <w:rsid w:val="007B5B56"/>
    <w:rsid w:val="007B5DA9"/>
    <w:rsid w:val="007C089E"/>
    <w:rsid w:val="007C3893"/>
    <w:rsid w:val="007C3E35"/>
    <w:rsid w:val="007C6D7A"/>
    <w:rsid w:val="007D0E37"/>
    <w:rsid w:val="007D3537"/>
    <w:rsid w:val="007D52BF"/>
    <w:rsid w:val="007D715D"/>
    <w:rsid w:val="007E1E3A"/>
    <w:rsid w:val="007E2BBE"/>
    <w:rsid w:val="007E3CC8"/>
    <w:rsid w:val="007E54BB"/>
    <w:rsid w:val="007E5975"/>
    <w:rsid w:val="007E6573"/>
    <w:rsid w:val="007E737A"/>
    <w:rsid w:val="007E7DEC"/>
    <w:rsid w:val="007F0874"/>
    <w:rsid w:val="007F0C3A"/>
    <w:rsid w:val="007F1E6F"/>
    <w:rsid w:val="007F3E0F"/>
    <w:rsid w:val="008007D7"/>
    <w:rsid w:val="008011FE"/>
    <w:rsid w:val="008026F7"/>
    <w:rsid w:val="00805B1C"/>
    <w:rsid w:val="0081049F"/>
    <w:rsid w:val="00810C76"/>
    <w:rsid w:val="00810E9B"/>
    <w:rsid w:val="00811F3D"/>
    <w:rsid w:val="008141C9"/>
    <w:rsid w:val="00814677"/>
    <w:rsid w:val="008163C4"/>
    <w:rsid w:val="00816D51"/>
    <w:rsid w:val="0082176A"/>
    <w:rsid w:val="00821AD6"/>
    <w:rsid w:val="00822F9B"/>
    <w:rsid w:val="008233A0"/>
    <w:rsid w:val="0082433F"/>
    <w:rsid w:val="0082436B"/>
    <w:rsid w:val="0082494D"/>
    <w:rsid w:val="00831245"/>
    <w:rsid w:val="00833BED"/>
    <w:rsid w:val="00836B3D"/>
    <w:rsid w:val="00837532"/>
    <w:rsid w:val="0083784E"/>
    <w:rsid w:val="008400BB"/>
    <w:rsid w:val="008413B2"/>
    <w:rsid w:val="0084407E"/>
    <w:rsid w:val="00844E84"/>
    <w:rsid w:val="00847AD9"/>
    <w:rsid w:val="00847D1E"/>
    <w:rsid w:val="00851C79"/>
    <w:rsid w:val="00852EBE"/>
    <w:rsid w:val="008532D7"/>
    <w:rsid w:val="00854399"/>
    <w:rsid w:val="00854B4B"/>
    <w:rsid w:val="008555FC"/>
    <w:rsid w:val="008558CE"/>
    <w:rsid w:val="008575B7"/>
    <w:rsid w:val="00860D56"/>
    <w:rsid w:val="0086100F"/>
    <w:rsid w:val="0086132F"/>
    <w:rsid w:val="00863161"/>
    <w:rsid w:val="00866C93"/>
    <w:rsid w:val="008672E6"/>
    <w:rsid w:val="008676AB"/>
    <w:rsid w:val="00871A99"/>
    <w:rsid w:val="008727D1"/>
    <w:rsid w:val="008730FC"/>
    <w:rsid w:val="008809B1"/>
    <w:rsid w:val="00880EF8"/>
    <w:rsid w:val="00881219"/>
    <w:rsid w:val="008842EE"/>
    <w:rsid w:val="00886299"/>
    <w:rsid w:val="00886E52"/>
    <w:rsid w:val="008925C1"/>
    <w:rsid w:val="008930F6"/>
    <w:rsid w:val="00895A1B"/>
    <w:rsid w:val="0089685A"/>
    <w:rsid w:val="0089787A"/>
    <w:rsid w:val="008A19DC"/>
    <w:rsid w:val="008A3556"/>
    <w:rsid w:val="008A4DC9"/>
    <w:rsid w:val="008A5A07"/>
    <w:rsid w:val="008A6A40"/>
    <w:rsid w:val="008B0B1F"/>
    <w:rsid w:val="008B1B54"/>
    <w:rsid w:val="008B44AB"/>
    <w:rsid w:val="008B5347"/>
    <w:rsid w:val="008B7BEC"/>
    <w:rsid w:val="008C1623"/>
    <w:rsid w:val="008C1A2C"/>
    <w:rsid w:val="008C29B6"/>
    <w:rsid w:val="008C2A19"/>
    <w:rsid w:val="008C2EB7"/>
    <w:rsid w:val="008C3ABA"/>
    <w:rsid w:val="008C45DD"/>
    <w:rsid w:val="008C6962"/>
    <w:rsid w:val="008C6BA4"/>
    <w:rsid w:val="008C7227"/>
    <w:rsid w:val="008D002A"/>
    <w:rsid w:val="008D04CA"/>
    <w:rsid w:val="008D14CD"/>
    <w:rsid w:val="008D270F"/>
    <w:rsid w:val="008D33BB"/>
    <w:rsid w:val="008D38A9"/>
    <w:rsid w:val="008D6BB0"/>
    <w:rsid w:val="008E031D"/>
    <w:rsid w:val="008E039F"/>
    <w:rsid w:val="008E1041"/>
    <w:rsid w:val="008E165B"/>
    <w:rsid w:val="008E2FA1"/>
    <w:rsid w:val="008E4F39"/>
    <w:rsid w:val="008E666C"/>
    <w:rsid w:val="008E7221"/>
    <w:rsid w:val="008F02F2"/>
    <w:rsid w:val="008F0CCA"/>
    <w:rsid w:val="008F24B0"/>
    <w:rsid w:val="008F2C89"/>
    <w:rsid w:val="008F373F"/>
    <w:rsid w:val="008F74B0"/>
    <w:rsid w:val="00900C2E"/>
    <w:rsid w:val="00901F1B"/>
    <w:rsid w:val="00903D60"/>
    <w:rsid w:val="0090466F"/>
    <w:rsid w:val="00906B62"/>
    <w:rsid w:val="00911EB1"/>
    <w:rsid w:val="00913EBB"/>
    <w:rsid w:val="009149C8"/>
    <w:rsid w:val="0091778A"/>
    <w:rsid w:val="00917E26"/>
    <w:rsid w:val="00917E44"/>
    <w:rsid w:val="0092044E"/>
    <w:rsid w:val="00922B25"/>
    <w:rsid w:val="00925589"/>
    <w:rsid w:val="00927B78"/>
    <w:rsid w:val="009305C6"/>
    <w:rsid w:val="00930A82"/>
    <w:rsid w:val="00933315"/>
    <w:rsid w:val="00935B30"/>
    <w:rsid w:val="00936027"/>
    <w:rsid w:val="009420BE"/>
    <w:rsid w:val="00942FF1"/>
    <w:rsid w:val="00944144"/>
    <w:rsid w:val="00944C89"/>
    <w:rsid w:val="00945D0D"/>
    <w:rsid w:val="009466A1"/>
    <w:rsid w:val="00946B42"/>
    <w:rsid w:val="00952617"/>
    <w:rsid w:val="00955DB2"/>
    <w:rsid w:val="00955FB1"/>
    <w:rsid w:val="009563DB"/>
    <w:rsid w:val="00960563"/>
    <w:rsid w:val="00962590"/>
    <w:rsid w:val="0096268D"/>
    <w:rsid w:val="00962EE6"/>
    <w:rsid w:val="009631C7"/>
    <w:rsid w:val="00963A2D"/>
    <w:rsid w:val="00963FB0"/>
    <w:rsid w:val="00964402"/>
    <w:rsid w:val="00965609"/>
    <w:rsid w:val="00966808"/>
    <w:rsid w:val="00966A6F"/>
    <w:rsid w:val="00967937"/>
    <w:rsid w:val="00967D86"/>
    <w:rsid w:val="009720B5"/>
    <w:rsid w:val="009721C8"/>
    <w:rsid w:val="00972730"/>
    <w:rsid w:val="00973F4E"/>
    <w:rsid w:val="009774DD"/>
    <w:rsid w:val="00977D8D"/>
    <w:rsid w:val="00981D73"/>
    <w:rsid w:val="00982A34"/>
    <w:rsid w:val="00983C59"/>
    <w:rsid w:val="00983F91"/>
    <w:rsid w:val="00984464"/>
    <w:rsid w:val="00984E1F"/>
    <w:rsid w:val="009873DD"/>
    <w:rsid w:val="009916F1"/>
    <w:rsid w:val="00991F55"/>
    <w:rsid w:val="00992169"/>
    <w:rsid w:val="009945ED"/>
    <w:rsid w:val="0099485B"/>
    <w:rsid w:val="009955BB"/>
    <w:rsid w:val="009964BD"/>
    <w:rsid w:val="00996558"/>
    <w:rsid w:val="009A0362"/>
    <w:rsid w:val="009A26EE"/>
    <w:rsid w:val="009A298A"/>
    <w:rsid w:val="009A4EDE"/>
    <w:rsid w:val="009A735E"/>
    <w:rsid w:val="009B2E8B"/>
    <w:rsid w:val="009B4D40"/>
    <w:rsid w:val="009B546C"/>
    <w:rsid w:val="009B6A69"/>
    <w:rsid w:val="009B7FB3"/>
    <w:rsid w:val="009C0321"/>
    <w:rsid w:val="009C1996"/>
    <w:rsid w:val="009C1BAF"/>
    <w:rsid w:val="009C2DC0"/>
    <w:rsid w:val="009C36E9"/>
    <w:rsid w:val="009C511E"/>
    <w:rsid w:val="009C6B88"/>
    <w:rsid w:val="009D1FEE"/>
    <w:rsid w:val="009D2292"/>
    <w:rsid w:val="009D2401"/>
    <w:rsid w:val="009E0DE6"/>
    <w:rsid w:val="009E173B"/>
    <w:rsid w:val="009E1F79"/>
    <w:rsid w:val="009E2415"/>
    <w:rsid w:val="009E2426"/>
    <w:rsid w:val="009E27C1"/>
    <w:rsid w:val="009E2971"/>
    <w:rsid w:val="009E2E9C"/>
    <w:rsid w:val="009E39BE"/>
    <w:rsid w:val="009E4DE3"/>
    <w:rsid w:val="009E523E"/>
    <w:rsid w:val="009E56E1"/>
    <w:rsid w:val="009E78D2"/>
    <w:rsid w:val="009F0BB6"/>
    <w:rsid w:val="009F31F4"/>
    <w:rsid w:val="009F5086"/>
    <w:rsid w:val="009F57EE"/>
    <w:rsid w:val="009F6F83"/>
    <w:rsid w:val="009F7F7C"/>
    <w:rsid w:val="00A011E5"/>
    <w:rsid w:val="00A0124B"/>
    <w:rsid w:val="00A01E4E"/>
    <w:rsid w:val="00A0480C"/>
    <w:rsid w:val="00A04DF7"/>
    <w:rsid w:val="00A060EE"/>
    <w:rsid w:val="00A07167"/>
    <w:rsid w:val="00A079D2"/>
    <w:rsid w:val="00A10507"/>
    <w:rsid w:val="00A10B91"/>
    <w:rsid w:val="00A11540"/>
    <w:rsid w:val="00A11D07"/>
    <w:rsid w:val="00A13026"/>
    <w:rsid w:val="00A138B3"/>
    <w:rsid w:val="00A145BA"/>
    <w:rsid w:val="00A14688"/>
    <w:rsid w:val="00A16E2F"/>
    <w:rsid w:val="00A217FB"/>
    <w:rsid w:val="00A22378"/>
    <w:rsid w:val="00A2304E"/>
    <w:rsid w:val="00A2400D"/>
    <w:rsid w:val="00A245BF"/>
    <w:rsid w:val="00A2481F"/>
    <w:rsid w:val="00A24A36"/>
    <w:rsid w:val="00A25663"/>
    <w:rsid w:val="00A25C9C"/>
    <w:rsid w:val="00A26467"/>
    <w:rsid w:val="00A31793"/>
    <w:rsid w:val="00A31854"/>
    <w:rsid w:val="00A32738"/>
    <w:rsid w:val="00A33F7F"/>
    <w:rsid w:val="00A356B2"/>
    <w:rsid w:val="00A36272"/>
    <w:rsid w:val="00A37BCC"/>
    <w:rsid w:val="00A37E9D"/>
    <w:rsid w:val="00A45A5D"/>
    <w:rsid w:val="00A4608D"/>
    <w:rsid w:val="00A46339"/>
    <w:rsid w:val="00A5021D"/>
    <w:rsid w:val="00A51117"/>
    <w:rsid w:val="00A5389D"/>
    <w:rsid w:val="00A54B6B"/>
    <w:rsid w:val="00A54BFD"/>
    <w:rsid w:val="00A56F44"/>
    <w:rsid w:val="00A57545"/>
    <w:rsid w:val="00A60A2C"/>
    <w:rsid w:val="00A60C2C"/>
    <w:rsid w:val="00A60C7C"/>
    <w:rsid w:val="00A62E89"/>
    <w:rsid w:val="00A65A3F"/>
    <w:rsid w:val="00A66360"/>
    <w:rsid w:val="00A66EA2"/>
    <w:rsid w:val="00A671E4"/>
    <w:rsid w:val="00A675DB"/>
    <w:rsid w:val="00A67EB4"/>
    <w:rsid w:val="00A70EB1"/>
    <w:rsid w:val="00A70F6D"/>
    <w:rsid w:val="00A71CDC"/>
    <w:rsid w:val="00A737D8"/>
    <w:rsid w:val="00A73B59"/>
    <w:rsid w:val="00A7607E"/>
    <w:rsid w:val="00A7673B"/>
    <w:rsid w:val="00A769D6"/>
    <w:rsid w:val="00A76D95"/>
    <w:rsid w:val="00A7770D"/>
    <w:rsid w:val="00A81119"/>
    <w:rsid w:val="00A8167F"/>
    <w:rsid w:val="00A83DF6"/>
    <w:rsid w:val="00A8420D"/>
    <w:rsid w:val="00A8594E"/>
    <w:rsid w:val="00A85F3F"/>
    <w:rsid w:val="00A85F9C"/>
    <w:rsid w:val="00A87F9B"/>
    <w:rsid w:val="00A91561"/>
    <w:rsid w:val="00A91FF4"/>
    <w:rsid w:val="00A92F1B"/>
    <w:rsid w:val="00A93FC6"/>
    <w:rsid w:val="00A967E4"/>
    <w:rsid w:val="00A971E8"/>
    <w:rsid w:val="00A97325"/>
    <w:rsid w:val="00AA22A7"/>
    <w:rsid w:val="00AA236F"/>
    <w:rsid w:val="00AA3DA2"/>
    <w:rsid w:val="00AA40BD"/>
    <w:rsid w:val="00AA516C"/>
    <w:rsid w:val="00AA5604"/>
    <w:rsid w:val="00AA5DEE"/>
    <w:rsid w:val="00AA7307"/>
    <w:rsid w:val="00AA7934"/>
    <w:rsid w:val="00AB09BC"/>
    <w:rsid w:val="00AB117D"/>
    <w:rsid w:val="00AB13B6"/>
    <w:rsid w:val="00AB1D4F"/>
    <w:rsid w:val="00AB2ECD"/>
    <w:rsid w:val="00AB3A1D"/>
    <w:rsid w:val="00AB73D3"/>
    <w:rsid w:val="00AB79C7"/>
    <w:rsid w:val="00AC0310"/>
    <w:rsid w:val="00AC3B6E"/>
    <w:rsid w:val="00AC3DC4"/>
    <w:rsid w:val="00AC45BE"/>
    <w:rsid w:val="00AC4E83"/>
    <w:rsid w:val="00AC6AC2"/>
    <w:rsid w:val="00AC7313"/>
    <w:rsid w:val="00AC7B31"/>
    <w:rsid w:val="00AD028C"/>
    <w:rsid w:val="00AD0B61"/>
    <w:rsid w:val="00AD414D"/>
    <w:rsid w:val="00AD5D6D"/>
    <w:rsid w:val="00AD5E6B"/>
    <w:rsid w:val="00AE0A63"/>
    <w:rsid w:val="00AE2031"/>
    <w:rsid w:val="00AE4617"/>
    <w:rsid w:val="00AE4943"/>
    <w:rsid w:val="00AE6372"/>
    <w:rsid w:val="00AF0DD0"/>
    <w:rsid w:val="00AF4459"/>
    <w:rsid w:val="00AF6738"/>
    <w:rsid w:val="00B0365D"/>
    <w:rsid w:val="00B03EE3"/>
    <w:rsid w:val="00B0593C"/>
    <w:rsid w:val="00B0671E"/>
    <w:rsid w:val="00B074AC"/>
    <w:rsid w:val="00B07DCE"/>
    <w:rsid w:val="00B11A1E"/>
    <w:rsid w:val="00B124C4"/>
    <w:rsid w:val="00B135F5"/>
    <w:rsid w:val="00B13741"/>
    <w:rsid w:val="00B1483D"/>
    <w:rsid w:val="00B1484A"/>
    <w:rsid w:val="00B21F5C"/>
    <w:rsid w:val="00B22189"/>
    <w:rsid w:val="00B22A77"/>
    <w:rsid w:val="00B27BDF"/>
    <w:rsid w:val="00B30F11"/>
    <w:rsid w:val="00B31A69"/>
    <w:rsid w:val="00B32AFD"/>
    <w:rsid w:val="00B33CED"/>
    <w:rsid w:val="00B348D1"/>
    <w:rsid w:val="00B34EFF"/>
    <w:rsid w:val="00B36C7A"/>
    <w:rsid w:val="00B3707C"/>
    <w:rsid w:val="00B37D7E"/>
    <w:rsid w:val="00B40A85"/>
    <w:rsid w:val="00B4128D"/>
    <w:rsid w:val="00B41AE4"/>
    <w:rsid w:val="00B43502"/>
    <w:rsid w:val="00B439E2"/>
    <w:rsid w:val="00B46D61"/>
    <w:rsid w:val="00B50A90"/>
    <w:rsid w:val="00B50D9B"/>
    <w:rsid w:val="00B51641"/>
    <w:rsid w:val="00B51A47"/>
    <w:rsid w:val="00B5350A"/>
    <w:rsid w:val="00B53D29"/>
    <w:rsid w:val="00B552E8"/>
    <w:rsid w:val="00B5597F"/>
    <w:rsid w:val="00B567C7"/>
    <w:rsid w:val="00B56CAE"/>
    <w:rsid w:val="00B5736D"/>
    <w:rsid w:val="00B605CC"/>
    <w:rsid w:val="00B623AC"/>
    <w:rsid w:val="00B626AE"/>
    <w:rsid w:val="00B63AD6"/>
    <w:rsid w:val="00B6687A"/>
    <w:rsid w:val="00B700BE"/>
    <w:rsid w:val="00B70A8C"/>
    <w:rsid w:val="00B73DCD"/>
    <w:rsid w:val="00B7474C"/>
    <w:rsid w:val="00B77072"/>
    <w:rsid w:val="00B803B1"/>
    <w:rsid w:val="00B80FA1"/>
    <w:rsid w:val="00B8172A"/>
    <w:rsid w:val="00B847A7"/>
    <w:rsid w:val="00B862B1"/>
    <w:rsid w:val="00B87CC8"/>
    <w:rsid w:val="00B92554"/>
    <w:rsid w:val="00B93EF5"/>
    <w:rsid w:val="00B95FD9"/>
    <w:rsid w:val="00B97FC3"/>
    <w:rsid w:val="00BA1576"/>
    <w:rsid w:val="00BA1BC9"/>
    <w:rsid w:val="00BA2780"/>
    <w:rsid w:val="00BA32AE"/>
    <w:rsid w:val="00BA3D9B"/>
    <w:rsid w:val="00BA3FA4"/>
    <w:rsid w:val="00BA511E"/>
    <w:rsid w:val="00BA5F47"/>
    <w:rsid w:val="00BA61B2"/>
    <w:rsid w:val="00BB08F1"/>
    <w:rsid w:val="00BB182B"/>
    <w:rsid w:val="00BB27D5"/>
    <w:rsid w:val="00BB2926"/>
    <w:rsid w:val="00BB3007"/>
    <w:rsid w:val="00BB37DB"/>
    <w:rsid w:val="00BB3AD4"/>
    <w:rsid w:val="00BB4849"/>
    <w:rsid w:val="00BC093A"/>
    <w:rsid w:val="00BC18E4"/>
    <w:rsid w:val="00BC2970"/>
    <w:rsid w:val="00BC2E70"/>
    <w:rsid w:val="00BC32C8"/>
    <w:rsid w:val="00BC38EE"/>
    <w:rsid w:val="00BC3BB7"/>
    <w:rsid w:val="00BC3E33"/>
    <w:rsid w:val="00BC4386"/>
    <w:rsid w:val="00BC4546"/>
    <w:rsid w:val="00BC6A69"/>
    <w:rsid w:val="00BC6D35"/>
    <w:rsid w:val="00BC71E9"/>
    <w:rsid w:val="00BC7B49"/>
    <w:rsid w:val="00BD0C48"/>
    <w:rsid w:val="00BD2373"/>
    <w:rsid w:val="00BD27A7"/>
    <w:rsid w:val="00BD27F9"/>
    <w:rsid w:val="00BD2D1B"/>
    <w:rsid w:val="00BD3A05"/>
    <w:rsid w:val="00BD4512"/>
    <w:rsid w:val="00BE311D"/>
    <w:rsid w:val="00BE5049"/>
    <w:rsid w:val="00BE6E16"/>
    <w:rsid w:val="00BE7C6A"/>
    <w:rsid w:val="00BF3D96"/>
    <w:rsid w:val="00BF3DAF"/>
    <w:rsid w:val="00BF56C9"/>
    <w:rsid w:val="00BF58DF"/>
    <w:rsid w:val="00C01D96"/>
    <w:rsid w:val="00C02F65"/>
    <w:rsid w:val="00C03C7C"/>
    <w:rsid w:val="00C0511A"/>
    <w:rsid w:val="00C06FCE"/>
    <w:rsid w:val="00C0769B"/>
    <w:rsid w:val="00C14773"/>
    <w:rsid w:val="00C20F04"/>
    <w:rsid w:val="00C21281"/>
    <w:rsid w:val="00C236F8"/>
    <w:rsid w:val="00C23C1D"/>
    <w:rsid w:val="00C2469C"/>
    <w:rsid w:val="00C2667E"/>
    <w:rsid w:val="00C2724D"/>
    <w:rsid w:val="00C30EE7"/>
    <w:rsid w:val="00C32742"/>
    <w:rsid w:val="00C32CED"/>
    <w:rsid w:val="00C34B4B"/>
    <w:rsid w:val="00C3631C"/>
    <w:rsid w:val="00C36C96"/>
    <w:rsid w:val="00C37725"/>
    <w:rsid w:val="00C414AD"/>
    <w:rsid w:val="00C4223C"/>
    <w:rsid w:val="00C438BE"/>
    <w:rsid w:val="00C4619D"/>
    <w:rsid w:val="00C474F6"/>
    <w:rsid w:val="00C47ACC"/>
    <w:rsid w:val="00C502C2"/>
    <w:rsid w:val="00C50BEF"/>
    <w:rsid w:val="00C52308"/>
    <w:rsid w:val="00C52385"/>
    <w:rsid w:val="00C529E3"/>
    <w:rsid w:val="00C52FAA"/>
    <w:rsid w:val="00C532A5"/>
    <w:rsid w:val="00C5387D"/>
    <w:rsid w:val="00C559D9"/>
    <w:rsid w:val="00C560C5"/>
    <w:rsid w:val="00C56374"/>
    <w:rsid w:val="00C579DB"/>
    <w:rsid w:val="00C61090"/>
    <w:rsid w:val="00C6205A"/>
    <w:rsid w:val="00C6264B"/>
    <w:rsid w:val="00C634E1"/>
    <w:rsid w:val="00C635A0"/>
    <w:rsid w:val="00C6429C"/>
    <w:rsid w:val="00C64781"/>
    <w:rsid w:val="00C64B8F"/>
    <w:rsid w:val="00C65207"/>
    <w:rsid w:val="00C65829"/>
    <w:rsid w:val="00C67110"/>
    <w:rsid w:val="00C67211"/>
    <w:rsid w:val="00C673E3"/>
    <w:rsid w:val="00C70BE1"/>
    <w:rsid w:val="00C73C50"/>
    <w:rsid w:val="00C73D11"/>
    <w:rsid w:val="00C7432A"/>
    <w:rsid w:val="00C80D06"/>
    <w:rsid w:val="00C8293F"/>
    <w:rsid w:val="00C84433"/>
    <w:rsid w:val="00C85E37"/>
    <w:rsid w:val="00C923D0"/>
    <w:rsid w:val="00C9289F"/>
    <w:rsid w:val="00C957DD"/>
    <w:rsid w:val="00C95DD8"/>
    <w:rsid w:val="00C97355"/>
    <w:rsid w:val="00C97996"/>
    <w:rsid w:val="00CA086D"/>
    <w:rsid w:val="00CA1E86"/>
    <w:rsid w:val="00CA37D0"/>
    <w:rsid w:val="00CA3945"/>
    <w:rsid w:val="00CA54AE"/>
    <w:rsid w:val="00CA55B7"/>
    <w:rsid w:val="00CA6650"/>
    <w:rsid w:val="00CB05B5"/>
    <w:rsid w:val="00CB1220"/>
    <w:rsid w:val="00CB2F3B"/>
    <w:rsid w:val="00CB3A61"/>
    <w:rsid w:val="00CB4527"/>
    <w:rsid w:val="00CB5736"/>
    <w:rsid w:val="00CB59DF"/>
    <w:rsid w:val="00CC0885"/>
    <w:rsid w:val="00CC0915"/>
    <w:rsid w:val="00CC2845"/>
    <w:rsid w:val="00CC4105"/>
    <w:rsid w:val="00CC4845"/>
    <w:rsid w:val="00CC549B"/>
    <w:rsid w:val="00CC7FE0"/>
    <w:rsid w:val="00CD1980"/>
    <w:rsid w:val="00CD2589"/>
    <w:rsid w:val="00CD27AF"/>
    <w:rsid w:val="00CE0561"/>
    <w:rsid w:val="00CE3C1E"/>
    <w:rsid w:val="00CE3CD4"/>
    <w:rsid w:val="00CE44FF"/>
    <w:rsid w:val="00CE49CB"/>
    <w:rsid w:val="00CE54A4"/>
    <w:rsid w:val="00CF0DE1"/>
    <w:rsid w:val="00CF2CC3"/>
    <w:rsid w:val="00CF2FB8"/>
    <w:rsid w:val="00CF38DB"/>
    <w:rsid w:val="00CF6DF7"/>
    <w:rsid w:val="00D01C14"/>
    <w:rsid w:val="00D03B8A"/>
    <w:rsid w:val="00D04439"/>
    <w:rsid w:val="00D04AF8"/>
    <w:rsid w:val="00D04EE4"/>
    <w:rsid w:val="00D05A94"/>
    <w:rsid w:val="00D05DF2"/>
    <w:rsid w:val="00D07286"/>
    <w:rsid w:val="00D07883"/>
    <w:rsid w:val="00D112E7"/>
    <w:rsid w:val="00D117DB"/>
    <w:rsid w:val="00D13158"/>
    <w:rsid w:val="00D17347"/>
    <w:rsid w:val="00D20D78"/>
    <w:rsid w:val="00D21215"/>
    <w:rsid w:val="00D22A5A"/>
    <w:rsid w:val="00D252D3"/>
    <w:rsid w:val="00D264A2"/>
    <w:rsid w:val="00D30145"/>
    <w:rsid w:val="00D308A6"/>
    <w:rsid w:val="00D31B07"/>
    <w:rsid w:val="00D34FD2"/>
    <w:rsid w:val="00D3512B"/>
    <w:rsid w:val="00D3723B"/>
    <w:rsid w:val="00D37654"/>
    <w:rsid w:val="00D37DF1"/>
    <w:rsid w:val="00D426CF"/>
    <w:rsid w:val="00D42E0F"/>
    <w:rsid w:val="00D42F59"/>
    <w:rsid w:val="00D448D3"/>
    <w:rsid w:val="00D45655"/>
    <w:rsid w:val="00D46821"/>
    <w:rsid w:val="00D4756E"/>
    <w:rsid w:val="00D47724"/>
    <w:rsid w:val="00D47A5E"/>
    <w:rsid w:val="00D50A6F"/>
    <w:rsid w:val="00D51608"/>
    <w:rsid w:val="00D54A9C"/>
    <w:rsid w:val="00D54B51"/>
    <w:rsid w:val="00D5549E"/>
    <w:rsid w:val="00D55748"/>
    <w:rsid w:val="00D56F1F"/>
    <w:rsid w:val="00D6039E"/>
    <w:rsid w:val="00D6141F"/>
    <w:rsid w:val="00D61A00"/>
    <w:rsid w:val="00D6299E"/>
    <w:rsid w:val="00D643BC"/>
    <w:rsid w:val="00D65C3F"/>
    <w:rsid w:val="00D675DF"/>
    <w:rsid w:val="00D724D8"/>
    <w:rsid w:val="00D73BB5"/>
    <w:rsid w:val="00D7795F"/>
    <w:rsid w:val="00D814FF"/>
    <w:rsid w:val="00D82246"/>
    <w:rsid w:val="00D8230B"/>
    <w:rsid w:val="00D82549"/>
    <w:rsid w:val="00D83568"/>
    <w:rsid w:val="00D83708"/>
    <w:rsid w:val="00D85E68"/>
    <w:rsid w:val="00D860D7"/>
    <w:rsid w:val="00D86988"/>
    <w:rsid w:val="00D873C6"/>
    <w:rsid w:val="00D87766"/>
    <w:rsid w:val="00D87E07"/>
    <w:rsid w:val="00D90306"/>
    <w:rsid w:val="00D91677"/>
    <w:rsid w:val="00D94154"/>
    <w:rsid w:val="00D96618"/>
    <w:rsid w:val="00DA1D1E"/>
    <w:rsid w:val="00DA22C8"/>
    <w:rsid w:val="00DA2FC2"/>
    <w:rsid w:val="00DA545C"/>
    <w:rsid w:val="00DB0636"/>
    <w:rsid w:val="00DB09F3"/>
    <w:rsid w:val="00DB265B"/>
    <w:rsid w:val="00DB2A38"/>
    <w:rsid w:val="00DB3E8B"/>
    <w:rsid w:val="00DB55F5"/>
    <w:rsid w:val="00DB7CED"/>
    <w:rsid w:val="00DC00E0"/>
    <w:rsid w:val="00DC05D9"/>
    <w:rsid w:val="00DC1804"/>
    <w:rsid w:val="00DC37C9"/>
    <w:rsid w:val="00DC45D2"/>
    <w:rsid w:val="00DC4D4E"/>
    <w:rsid w:val="00DC5271"/>
    <w:rsid w:val="00DC5673"/>
    <w:rsid w:val="00DC5D1C"/>
    <w:rsid w:val="00DC691A"/>
    <w:rsid w:val="00DC7B67"/>
    <w:rsid w:val="00DC7FE7"/>
    <w:rsid w:val="00DD1225"/>
    <w:rsid w:val="00DD292B"/>
    <w:rsid w:val="00DD2B89"/>
    <w:rsid w:val="00DD4646"/>
    <w:rsid w:val="00DD5995"/>
    <w:rsid w:val="00DD5CE7"/>
    <w:rsid w:val="00DD721B"/>
    <w:rsid w:val="00DD77CB"/>
    <w:rsid w:val="00DE036E"/>
    <w:rsid w:val="00DE1067"/>
    <w:rsid w:val="00DE327D"/>
    <w:rsid w:val="00DE573A"/>
    <w:rsid w:val="00DF1434"/>
    <w:rsid w:val="00DF20EB"/>
    <w:rsid w:val="00DF261E"/>
    <w:rsid w:val="00DF2B9E"/>
    <w:rsid w:val="00DF4A95"/>
    <w:rsid w:val="00DF5CF4"/>
    <w:rsid w:val="00DF6993"/>
    <w:rsid w:val="00E00655"/>
    <w:rsid w:val="00E01350"/>
    <w:rsid w:val="00E017DE"/>
    <w:rsid w:val="00E03229"/>
    <w:rsid w:val="00E03632"/>
    <w:rsid w:val="00E043F1"/>
    <w:rsid w:val="00E05380"/>
    <w:rsid w:val="00E05C71"/>
    <w:rsid w:val="00E10675"/>
    <w:rsid w:val="00E10D9E"/>
    <w:rsid w:val="00E121B8"/>
    <w:rsid w:val="00E122D7"/>
    <w:rsid w:val="00E12DCD"/>
    <w:rsid w:val="00E1346E"/>
    <w:rsid w:val="00E14E1F"/>
    <w:rsid w:val="00E14FD8"/>
    <w:rsid w:val="00E15257"/>
    <w:rsid w:val="00E16535"/>
    <w:rsid w:val="00E166FE"/>
    <w:rsid w:val="00E17576"/>
    <w:rsid w:val="00E20BA8"/>
    <w:rsid w:val="00E21F24"/>
    <w:rsid w:val="00E231C4"/>
    <w:rsid w:val="00E23461"/>
    <w:rsid w:val="00E24367"/>
    <w:rsid w:val="00E2571C"/>
    <w:rsid w:val="00E27B54"/>
    <w:rsid w:val="00E27CB1"/>
    <w:rsid w:val="00E30BBA"/>
    <w:rsid w:val="00E30E23"/>
    <w:rsid w:val="00E31D44"/>
    <w:rsid w:val="00E31F89"/>
    <w:rsid w:val="00E32314"/>
    <w:rsid w:val="00E33454"/>
    <w:rsid w:val="00E3407F"/>
    <w:rsid w:val="00E344BC"/>
    <w:rsid w:val="00E34D7C"/>
    <w:rsid w:val="00E375A5"/>
    <w:rsid w:val="00E40324"/>
    <w:rsid w:val="00E41507"/>
    <w:rsid w:val="00E4222F"/>
    <w:rsid w:val="00E42D94"/>
    <w:rsid w:val="00E44233"/>
    <w:rsid w:val="00E45CA3"/>
    <w:rsid w:val="00E463E3"/>
    <w:rsid w:val="00E470A3"/>
    <w:rsid w:val="00E47491"/>
    <w:rsid w:val="00E478FC"/>
    <w:rsid w:val="00E54192"/>
    <w:rsid w:val="00E54759"/>
    <w:rsid w:val="00E5563E"/>
    <w:rsid w:val="00E6254B"/>
    <w:rsid w:val="00E62BB8"/>
    <w:rsid w:val="00E633C7"/>
    <w:rsid w:val="00E63D3B"/>
    <w:rsid w:val="00E64A8D"/>
    <w:rsid w:val="00E66C2A"/>
    <w:rsid w:val="00E66FE8"/>
    <w:rsid w:val="00E67819"/>
    <w:rsid w:val="00E67D0D"/>
    <w:rsid w:val="00E70AD4"/>
    <w:rsid w:val="00E748BC"/>
    <w:rsid w:val="00E77E97"/>
    <w:rsid w:val="00E80302"/>
    <w:rsid w:val="00E81F3F"/>
    <w:rsid w:val="00E83C95"/>
    <w:rsid w:val="00E84067"/>
    <w:rsid w:val="00E8476A"/>
    <w:rsid w:val="00E84C97"/>
    <w:rsid w:val="00E8522B"/>
    <w:rsid w:val="00E859D1"/>
    <w:rsid w:val="00E8615E"/>
    <w:rsid w:val="00E90079"/>
    <w:rsid w:val="00E921B7"/>
    <w:rsid w:val="00E92B0F"/>
    <w:rsid w:val="00E961D1"/>
    <w:rsid w:val="00E9778D"/>
    <w:rsid w:val="00EA5903"/>
    <w:rsid w:val="00EB1937"/>
    <w:rsid w:val="00EB2066"/>
    <w:rsid w:val="00EB3611"/>
    <w:rsid w:val="00EB3A3D"/>
    <w:rsid w:val="00EB41C5"/>
    <w:rsid w:val="00EB583D"/>
    <w:rsid w:val="00EB635E"/>
    <w:rsid w:val="00EB7783"/>
    <w:rsid w:val="00EB7A7F"/>
    <w:rsid w:val="00EC2B55"/>
    <w:rsid w:val="00EC32BD"/>
    <w:rsid w:val="00EC577C"/>
    <w:rsid w:val="00EC5C26"/>
    <w:rsid w:val="00EC5FA3"/>
    <w:rsid w:val="00ED0E75"/>
    <w:rsid w:val="00ED4B84"/>
    <w:rsid w:val="00ED74FB"/>
    <w:rsid w:val="00EE01DE"/>
    <w:rsid w:val="00EE170B"/>
    <w:rsid w:val="00EE18C2"/>
    <w:rsid w:val="00EE376B"/>
    <w:rsid w:val="00EE59FC"/>
    <w:rsid w:val="00EE5CFD"/>
    <w:rsid w:val="00EE7D5B"/>
    <w:rsid w:val="00EF142E"/>
    <w:rsid w:val="00EF48D2"/>
    <w:rsid w:val="00EF664F"/>
    <w:rsid w:val="00EF7889"/>
    <w:rsid w:val="00EF7EFC"/>
    <w:rsid w:val="00EF7F08"/>
    <w:rsid w:val="00F00FE0"/>
    <w:rsid w:val="00F012E0"/>
    <w:rsid w:val="00F02DC2"/>
    <w:rsid w:val="00F02E1D"/>
    <w:rsid w:val="00F04BBD"/>
    <w:rsid w:val="00F050EF"/>
    <w:rsid w:val="00F07D1E"/>
    <w:rsid w:val="00F11995"/>
    <w:rsid w:val="00F122EC"/>
    <w:rsid w:val="00F13E0B"/>
    <w:rsid w:val="00F1793C"/>
    <w:rsid w:val="00F200E2"/>
    <w:rsid w:val="00F2287B"/>
    <w:rsid w:val="00F22FD6"/>
    <w:rsid w:val="00F25628"/>
    <w:rsid w:val="00F262A3"/>
    <w:rsid w:val="00F2691D"/>
    <w:rsid w:val="00F2710F"/>
    <w:rsid w:val="00F34255"/>
    <w:rsid w:val="00F3531C"/>
    <w:rsid w:val="00F36913"/>
    <w:rsid w:val="00F37024"/>
    <w:rsid w:val="00F37327"/>
    <w:rsid w:val="00F40485"/>
    <w:rsid w:val="00F40DCE"/>
    <w:rsid w:val="00F41F32"/>
    <w:rsid w:val="00F430E1"/>
    <w:rsid w:val="00F43766"/>
    <w:rsid w:val="00F4445C"/>
    <w:rsid w:val="00F45A99"/>
    <w:rsid w:val="00F47245"/>
    <w:rsid w:val="00F51253"/>
    <w:rsid w:val="00F51521"/>
    <w:rsid w:val="00F517E0"/>
    <w:rsid w:val="00F52BC0"/>
    <w:rsid w:val="00F52E23"/>
    <w:rsid w:val="00F532A0"/>
    <w:rsid w:val="00F5345B"/>
    <w:rsid w:val="00F53EEB"/>
    <w:rsid w:val="00F5507A"/>
    <w:rsid w:val="00F57947"/>
    <w:rsid w:val="00F60A8E"/>
    <w:rsid w:val="00F61226"/>
    <w:rsid w:val="00F616F6"/>
    <w:rsid w:val="00F62DF3"/>
    <w:rsid w:val="00F65B65"/>
    <w:rsid w:val="00F6638C"/>
    <w:rsid w:val="00F66C05"/>
    <w:rsid w:val="00F67073"/>
    <w:rsid w:val="00F67E46"/>
    <w:rsid w:val="00F70107"/>
    <w:rsid w:val="00F72728"/>
    <w:rsid w:val="00F74D23"/>
    <w:rsid w:val="00F753DA"/>
    <w:rsid w:val="00F75990"/>
    <w:rsid w:val="00F75F8B"/>
    <w:rsid w:val="00F76E15"/>
    <w:rsid w:val="00F77520"/>
    <w:rsid w:val="00F805D9"/>
    <w:rsid w:val="00F82075"/>
    <w:rsid w:val="00F8352C"/>
    <w:rsid w:val="00F85228"/>
    <w:rsid w:val="00F873A3"/>
    <w:rsid w:val="00F9514A"/>
    <w:rsid w:val="00F97689"/>
    <w:rsid w:val="00FA1C0A"/>
    <w:rsid w:val="00FA23BB"/>
    <w:rsid w:val="00FA2792"/>
    <w:rsid w:val="00FA47C9"/>
    <w:rsid w:val="00FA59F6"/>
    <w:rsid w:val="00FA62F2"/>
    <w:rsid w:val="00FA77DB"/>
    <w:rsid w:val="00FB02D9"/>
    <w:rsid w:val="00FB0F46"/>
    <w:rsid w:val="00FB2AEB"/>
    <w:rsid w:val="00FB2DE6"/>
    <w:rsid w:val="00FB4213"/>
    <w:rsid w:val="00FB486C"/>
    <w:rsid w:val="00FB5087"/>
    <w:rsid w:val="00FB542E"/>
    <w:rsid w:val="00FB66B6"/>
    <w:rsid w:val="00FB71BE"/>
    <w:rsid w:val="00FC0E1B"/>
    <w:rsid w:val="00FC25E6"/>
    <w:rsid w:val="00FC28F9"/>
    <w:rsid w:val="00FC60A1"/>
    <w:rsid w:val="00FC73FD"/>
    <w:rsid w:val="00FD031E"/>
    <w:rsid w:val="00FD0E9A"/>
    <w:rsid w:val="00FD2045"/>
    <w:rsid w:val="00FD372C"/>
    <w:rsid w:val="00FD3BEC"/>
    <w:rsid w:val="00FD4DDB"/>
    <w:rsid w:val="00FD6AE4"/>
    <w:rsid w:val="00FE378B"/>
    <w:rsid w:val="00FE45E3"/>
    <w:rsid w:val="00FE4899"/>
    <w:rsid w:val="00FE48C4"/>
    <w:rsid w:val="00FE6544"/>
    <w:rsid w:val="00FE67C2"/>
    <w:rsid w:val="00FE6994"/>
    <w:rsid w:val="00FE7E17"/>
    <w:rsid w:val="00FF02CE"/>
    <w:rsid w:val="00FF1670"/>
    <w:rsid w:val="00FF1AC0"/>
    <w:rsid w:val="00FF3338"/>
    <w:rsid w:val="00FF3D23"/>
    <w:rsid w:val="00FF7DD6"/>
    <w:rsid w:val="01085450"/>
    <w:rsid w:val="0113095C"/>
    <w:rsid w:val="015A623D"/>
    <w:rsid w:val="017771B7"/>
    <w:rsid w:val="02357906"/>
    <w:rsid w:val="02507E54"/>
    <w:rsid w:val="02536862"/>
    <w:rsid w:val="026805C7"/>
    <w:rsid w:val="02803646"/>
    <w:rsid w:val="028B6383"/>
    <w:rsid w:val="02CA3495"/>
    <w:rsid w:val="02CE19BD"/>
    <w:rsid w:val="02F2443B"/>
    <w:rsid w:val="030204D1"/>
    <w:rsid w:val="031422DE"/>
    <w:rsid w:val="032318D4"/>
    <w:rsid w:val="033A37A8"/>
    <w:rsid w:val="03964ECA"/>
    <w:rsid w:val="03A67E27"/>
    <w:rsid w:val="03D64AFE"/>
    <w:rsid w:val="03ED5678"/>
    <w:rsid w:val="043F7544"/>
    <w:rsid w:val="046571CC"/>
    <w:rsid w:val="04855241"/>
    <w:rsid w:val="04A67948"/>
    <w:rsid w:val="04CA7879"/>
    <w:rsid w:val="050F08D9"/>
    <w:rsid w:val="05156E3F"/>
    <w:rsid w:val="05271B2B"/>
    <w:rsid w:val="05283E73"/>
    <w:rsid w:val="05473251"/>
    <w:rsid w:val="05794828"/>
    <w:rsid w:val="05AF4ED2"/>
    <w:rsid w:val="05C47F5B"/>
    <w:rsid w:val="05D84EED"/>
    <w:rsid w:val="05E70448"/>
    <w:rsid w:val="05EA4A5D"/>
    <w:rsid w:val="05F41936"/>
    <w:rsid w:val="06014492"/>
    <w:rsid w:val="060E3FBA"/>
    <w:rsid w:val="06267639"/>
    <w:rsid w:val="06303C2F"/>
    <w:rsid w:val="063D4603"/>
    <w:rsid w:val="069D27D5"/>
    <w:rsid w:val="06E74661"/>
    <w:rsid w:val="06EE3BEF"/>
    <w:rsid w:val="070443C2"/>
    <w:rsid w:val="07131A24"/>
    <w:rsid w:val="076F32F7"/>
    <w:rsid w:val="07FD57CB"/>
    <w:rsid w:val="08287716"/>
    <w:rsid w:val="08552F16"/>
    <w:rsid w:val="08704278"/>
    <w:rsid w:val="089827AB"/>
    <w:rsid w:val="08AC0357"/>
    <w:rsid w:val="08EA0E0E"/>
    <w:rsid w:val="09111E12"/>
    <w:rsid w:val="099F634D"/>
    <w:rsid w:val="09B14D9C"/>
    <w:rsid w:val="09E13A5A"/>
    <w:rsid w:val="0A023492"/>
    <w:rsid w:val="0A037B6A"/>
    <w:rsid w:val="0A6039CC"/>
    <w:rsid w:val="0A612E89"/>
    <w:rsid w:val="0A927CF9"/>
    <w:rsid w:val="0AB1318E"/>
    <w:rsid w:val="0AC92109"/>
    <w:rsid w:val="0AFD3467"/>
    <w:rsid w:val="0B1B6B5C"/>
    <w:rsid w:val="0B2811FE"/>
    <w:rsid w:val="0B2918A9"/>
    <w:rsid w:val="0B2F33B1"/>
    <w:rsid w:val="0B3819CA"/>
    <w:rsid w:val="0B3D5ADE"/>
    <w:rsid w:val="0BDC7B99"/>
    <w:rsid w:val="0BFC334E"/>
    <w:rsid w:val="0C23553B"/>
    <w:rsid w:val="0C903728"/>
    <w:rsid w:val="0CA1496D"/>
    <w:rsid w:val="0CC73912"/>
    <w:rsid w:val="0CE320D2"/>
    <w:rsid w:val="0CF03539"/>
    <w:rsid w:val="0CFA1768"/>
    <w:rsid w:val="0D2E4528"/>
    <w:rsid w:val="0D324491"/>
    <w:rsid w:val="0D7C5425"/>
    <w:rsid w:val="0DA95301"/>
    <w:rsid w:val="0DAA5230"/>
    <w:rsid w:val="0DCC7BFB"/>
    <w:rsid w:val="0DE324EB"/>
    <w:rsid w:val="0DE54E7A"/>
    <w:rsid w:val="0E014D20"/>
    <w:rsid w:val="0E312B9A"/>
    <w:rsid w:val="0E6C2B12"/>
    <w:rsid w:val="0E964A8B"/>
    <w:rsid w:val="0EA6071F"/>
    <w:rsid w:val="0EC3333F"/>
    <w:rsid w:val="0ED420BA"/>
    <w:rsid w:val="0EE50FCE"/>
    <w:rsid w:val="0EF27294"/>
    <w:rsid w:val="0F632F5F"/>
    <w:rsid w:val="0F843306"/>
    <w:rsid w:val="0F9D58EA"/>
    <w:rsid w:val="0FE7578C"/>
    <w:rsid w:val="10151DD1"/>
    <w:rsid w:val="102F1315"/>
    <w:rsid w:val="10305756"/>
    <w:rsid w:val="103F2490"/>
    <w:rsid w:val="10526C7C"/>
    <w:rsid w:val="106A709D"/>
    <w:rsid w:val="109649A6"/>
    <w:rsid w:val="10BE09D1"/>
    <w:rsid w:val="10BE0C2F"/>
    <w:rsid w:val="10E73C10"/>
    <w:rsid w:val="10E743E4"/>
    <w:rsid w:val="10F734C9"/>
    <w:rsid w:val="10F8442D"/>
    <w:rsid w:val="113B6C8C"/>
    <w:rsid w:val="11464C8C"/>
    <w:rsid w:val="114A658D"/>
    <w:rsid w:val="114E3D07"/>
    <w:rsid w:val="11583666"/>
    <w:rsid w:val="11663112"/>
    <w:rsid w:val="1167083B"/>
    <w:rsid w:val="119075CC"/>
    <w:rsid w:val="11BD42D0"/>
    <w:rsid w:val="12056455"/>
    <w:rsid w:val="1244288A"/>
    <w:rsid w:val="12BB1845"/>
    <w:rsid w:val="13155BC0"/>
    <w:rsid w:val="13461015"/>
    <w:rsid w:val="138820EB"/>
    <w:rsid w:val="13935857"/>
    <w:rsid w:val="13AE7964"/>
    <w:rsid w:val="13DF7F88"/>
    <w:rsid w:val="13EE180C"/>
    <w:rsid w:val="14070031"/>
    <w:rsid w:val="140B4C2E"/>
    <w:rsid w:val="148461DB"/>
    <w:rsid w:val="14A87130"/>
    <w:rsid w:val="14CA4E14"/>
    <w:rsid w:val="151203AA"/>
    <w:rsid w:val="154357AA"/>
    <w:rsid w:val="155E5CF8"/>
    <w:rsid w:val="159452FC"/>
    <w:rsid w:val="15A90FF7"/>
    <w:rsid w:val="15AF57B1"/>
    <w:rsid w:val="15B6056F"/>
    <w:rsid w:val="15E06339"/>
    <w:rsid w:val="15EA4A1D"/>
    <w:rsid w:val="160408D7"/>
    <w:rsid w:val="161B51EE"/>
    <w:rsid w:val="161C4D1B"/>
    <w:rsid w:val="16316CCC"/>
    <w:rsid w:val="167654E6"/>
    <w:rsid w:val="167E2CBC"/>
    <w:rsid w:val="16947118"/>
    <w:rsid w:val="1697327C"/>
    <w:rsid w:val="1698076C"/>
    <w:rsid w:val="16C75B1C"/>
    <w:rsid w:val="16F35B11"/>
    <w:rsid w:val="16F526E9"/>
    <w:rsid w:val="171B0554"/>
    <w:rsid w:val="173F0942"/>
    <w:rsid w:val="174D3084"/>
    <w:rsid w:val="17C31AE8"/>
    <w:rsid w:val="18232DDA"/>
    <w:rsid w:val="18350420"/>
    <w:rsid w:val="18586BD5"/>
    <w:rsid w:val="18905C11"/>
    <w:rsid w:val="189472E7"/>
    <w:rsid w:val="18E71B82"/>
    <w:rsid w:val="18FB3FF3"/>
    <w:rsid w:val="19156425"/>
    <w:rsid w:val="194862E0"/>
    <w:rsid w:val="19C46912"/>
    <w:rsid w:val="19DF5E1B"/>
    <w:rsid w:val="1A113B07"/>
    <w:rsid w:val="1A305973"/>
    <w:rsid w:val="1A424166"/>
    <w:rsid w:val="1A427776"/>
    <w:rsid w:val="1ACE3C50"/>
    <w:rsid w:val="1AD663F9"/>
    <w:rsid w:val="1B0B7375"/>
    <w:rsid w:val="1B1A352E"/>
    <w:rsid w:val="1B1E4293"/>
    <w:rsid w:val="1B5F50ED"/>
    <w:rsid w:val="1B803771"/>
    <w:rsid w:val="1B815C20"/>
    <w:rsid w:val="1BA51925"/>
    <w:rsid w:val="1BB16DC3"/>
    <w:rsid w:val="1BBE3145"/>
    <w:rsid w:val="1BC246E0"/>
    <w:rsid w:val="1BC739F3"/>
    <w:rsid w:val="1BDA110E"/>
    <w:rsid w:val="1BE3612D"/>
    <w:rsid w:val="1C0C0A18"/>
    <w:rsid w:val="1C2A0577"/>
    <w:rsid w:val="1C403E1D"/>
    <w:rsid w:val="1C655338"/>
    <w:rsid w:val="1C8C3782"/>
    <w:rsid w:val="1C9047AA"/>
    <w:rsid w:val="1CBA20E7"/>
    <w:rsid w:val="1CD07D9F"/>
    <w:rsid w:val="1CE04E05"/>
    <w:rsid w:val="1CE2136C"/>
    <w:rsid w:val="1CEF7C66"/>
    <w:rsid w:val="1D054582"/>
    <w:rsid w:val="1D2A7D7B"/>
    <w:rsid w:val="1D7D2039"/>
    <w:rsid w:val="1DE12F76"/>
    <w:rsid w:val="1E0F0011"/>
    <w:rsid w:val="1E4130AB"/>
    <w:rsid w:val="1E4D4CA7"/>
    <w:rsid w:val="1E7F2C6C"/>
    <w:rsid w:val="1E846D00"/>
    <w:rsid w:val="1EB920B6"/>
    <w:rsid w:val="1EBD664A"/>
    <w:rsid w:val="1ED67456"/>
    <w:rsid w:val="1EE02B5F"/>
    <w:rsid w:val="1F50136D"/>
    <w:rsid w:val="1F5110C8"/>
    <w:rsid w:val="1F94081B"/>
    <w:rsid w:val="1FAD39E8"/>
    <w:rsid w:val="1FB631E1"/>
    <w:rsid w:val="1FCC1153"/>
    <w:rsid w:val="200B14DB"/>
    <w:rsid w:val="202B4759"/>
    <w:rsid w:val="203204C5"/>
    <w:rsid w:val="204B2CB7"/>
    <w:rsid w:val="20F21AEE"/>
    <w:rsid w:val="21094FE4"/>
    <w:rsid w:val="2113197A"/>
    <w:rsid w:val="211A5B51"/>
    <w:rsid w:val="212F3B6A"/>
    <w:rsid w:val="213B6582"/>
    <w:rsid w:val="2147047A"/>
    <w:rsid w:val="216F2591"/>
    <w:rsid w:val="21F37C1E"/>
    <w:rsid w:val="220009F0"/>
    <w:rsid w:val="224A6284"/>
    <w:rsid w:val="224C2E7C"/>
    <w:rsid w:val="226C5F34"/>
    <w:rsid w:val="22A31966"/>
    <w:rsid w:val="23403877"/>
    <w:rsid w:val="23500E92"/>
    <w:rsid w:val="238027E3"/>
    <w:rsid w:val="23F13DFD"/>
    <w:rsid w:val="243D3CA1"/>
    <w:rsid w:val="24497A15"/>
    <w:rsid w:val="24B937FB"/>
    <w:rsid w:val="24F05B5B"/>
    <w:rsid w:val="25092CA8"/>
    <w:rsid w:val="25096F29"/>
    <w:rsid w:val="251C531C"/>
    <w:rsid w:val="25237475"/>
    <w:rsid w:val="254F1023"/>
    <w:rsid w:val="255567DC"/>
    <w:rsid w:val="258C2990"/>
    <w:rsid w:val="25DA600D"/>
    <w:rsid w:val="25DF0358"/>
    <w:rsid w:val="26671D04"/>
    <w:rsid w:val="266E55CB"/>
    <w:rsid w:val="2693081D"/>
    <w:rsid w:val="269D299F"/>
    <w:rsid w:val="26F5551C"/>
    <w:rsid w:val="27154CCD"/>
    <w:rsid w:val="273125BC"/>
    <w:rsid w:val="279D5D1A"/>
    <w:rsid w:val="27BE4184"/>
    <w:rsid w:val="28096854"/>
    <w:rsid w:val="292A5306"/>
    <w:rsid w:val="293F0807"/>
    <w:rsid w:val="295773EF"/>
    <w:rsid w:val="29872088"/>
    <w:rsid w:val="29BD649C"/>
    <w:rsid w:val="2A256627"/>
    <w:rsid w:val="2A3E6B43"/>
    <w:rsid w:val="2A5F1A23"/>
    <w:rsid w:val="2A7A1E56"/>
    <w:rsid w:val="2A92562B"/>
    <w:rsid w:val="2AEE08B6"/>
    <w:rsid w:val="2B307C10"/>
    <w:rsid w:val="2BE6499C"/>
    <w:rsid w:val="2BF93AF2"/>
    <w:rsid w:val="2BFF6701"/>
    <w:rsid w:val="2C1064F5"/>
    <w:rsid w:val="2C3164F0"/>
    <w:rsid w:val="2C3D0A04"/>
    <w:rsid w:val="2C6638DF"/>
    <w:rsid w:val="2C740FD6"/>
    <w:rsid w:val="2C802782"/>
    <w:rsid w:val="2D222519"/>
    <w:rsid w:val="2D4230C3"/>
    <w:rsid w:val="2D6C74C1"/>
    <w:rsid w:val="2DC22E8D"/>
    <w:rsid w:val="2DCF4A66"/>
    <w:rsid w:val="2DD468FA"/>
    <w:rsid w:val="2DD86FE4"/>
    <w:rsid w:val="2DF25B03"/>
    <w:rsid w:val="2DFA4477"/>
    <w:rsid w:val="2E5C121B"/>
    <w:rsid w:val="2E802977"/>
    <w:rsid w:val="2E975015"/>
    <w:rsid w:val="2EB63B22"/>
    <w:rsid w:val="2EBD11E6"/>
    <w:rsid w:val="2ECE6ED4"/>
    <w:rsid w:val="2ED565DA"/>
    <w:rsid w:val="2EE50361"/>
    <w:rsid w:val="2F4B0683"/>
    <w:rsid w:val="2F521185"/>
    <w:rsid w:val="2F805FE4"/>
    <w:rsid w:val="2FC61054"/>
    <w:rsid w:val="2FEB3A19"/>
    <w:rsid w:val="300A05A0"/>
    <w:rsid w:val="301B29D7"/>
    <w:rsid w:val="301B3D6B"/>
    <w:rsid w:val="301C616A"/>
    <w:rsid w:val="30304FE1"/>
    <w:rsid w:val="30465C47"/>
    <w:rsid w:val="3069455C"/>
    <w:rsid w:val="307A1B26"/>
    <w:rsid w:val="30804739"/>
    <w:rsid w:val="30911C08"/>
    <w:rsid w:val="30E50060"/>
    <w:rsid w:val="315059A0"/>
    <w:rsid w:val="3170180C"/>
    <w:rsid w:val="318F24B9"/>
    <w:rsid w:val="31A95C90"/>
    <w:rsid w:val="31D71AF3"/>
    <w:rsid w:val="31F67FB1"/>
    <w:rsid w:val="32344B37"/>
    <w:rsid w:val="3252742A"/>
    <w:rsid w:val="326B7F19"/>
    <w:rsid w:val="327960E3"/>
    <w:rsid w:val="32814D87"/>
    <w:rsid w:val="32970434"/>
    <w:rsid w:val="32A70B37"/>
    <w:rsid w:val="32CA33E1"/>
    <w:rsid w:val="33136742"/>
    <w:rsid w:val="333A18E3"/>
    <w:rsid w:val="334F137A"/>
    <w:rsid w:val="33966308"/>
    <w:rsid w:val="33DA2C5B"/>
    <w:rsid w:val="33FC5CAF"/>
    <w:rsid w:val="34627B14"/>
    <w:rsid w:val="34697A3C"/>
    <w:rsid w:val="34744AD3"/>
    <w:rsid w:val="34AF1229"/>
    <w:rsid w:val="34C108AB"/>
    <w:rsid w:val="34D010F9"/>
    <w:rsid w:val="34E7726B"/>
    <w:rsid w:val="34EE4461"/>
    <w:rsid w:val="350705FC"/>
    <w:rsid w:val="350B7017"/>
    <w:rsid w:val="35784DF8"/>
    <w:rsid w:val="35A67566"/>
    <w:rsid w:val="35B43B1C"/>
    <w:rsid w:val="35CF691A"/>
    <w:rsid w:val="36536682"/>
    <w:rsid w:val="36684C98"/>
    <w:rsid w:val="36AC4788"/>
    <w:rsid w:val="36B213CE"/>
    <w:rsid w:val="36CA4ED1"/>
    <w:rsid w:val="36D65E00"/>
    <w:rsid w:val="36F872F7"/>
    <w:rsid w:val="37A42417"/>
    <w:rsid w:val="38024D3C"/>
    <w:rsid w:val="382A4EB3"/>
    <w:rsid w:val="386877CE"/>
    <w:rsid w:val="389805FF"/>
    <w:rsid w:val="38FC1504"/>
    <w:rsid w:val="39133A6F"/>
    <w:rsid w:val="391506F9"/>
    <w:rsid w:val="392510CB"/>
    <w:rsid w:val="39720159"/>
    <w:rsid w:val="397A6F2D"/>
    <w:rsid w:val="39961596"/>
    <w:rsid w:val="39EE55A6"/>
    <w:rsid w:val="3A0C2CFB"/>
    <w:rsid w:val="3A37638E"/>
    <w:rsid w:val="3A596592"/>
    <w:rsid w:val="3A74062D"/>
    <w:rsid w:val="3AC756A2"/>
    <w:rsid w:val="3AF35FFE"/>
    <w:rsid w:val="3B0552FE"/>
    <w:rsid w:val="3B055374"/>
    <w:rsid w:val="3B2A01EA"/>
    <w:rsid w:val="3B6C0E64"/>
    <w:rsid w:val="3B750C11"/>
    <w:rsid w:val="3B99729F"/>
    <w:rsid w:val="3BBA1052"/>
    <w:rsid w:val="3BBE1338"/>
    <w:rsid w:val="3C31488E"/>
    <w:rsid w:val="3C4B046A"/>
    <w:rsid w:val="3C880067"/>
    <w:rsid w:val="3CAB6EA4"/>
    <w:rsid w:val="3D1564E5"/>
    <w:rsid w:val="3D3146D9"/>
    <w:rsid w:val="3D7236CC"/>
    <w:rsid w:val="3D9908EC"/>
    <w:rsid w:val="3DDA4314"/>
    <w:rsid w:val="3DE34E58"/>
    <w:rsid w:val="3DE82734"/>
    <w:rsid w:val="3E124CEE"/>
    <w:rsid w:val="3E1A55E1"/>
    <w:rsid w:val="3E4E1FCB"/>
    <w:rsid w:val="3EAC2AC8"/>
    <w:rsid w:val="3EFD7CC4"/>
    <w:rsid w:val="3F0B30F6"/>
    <w:rsid w:val="3F3A115B"/>
    <w:rsid w:val="3F3C6B9C"/>
    <w:rsid w:val="3F582739"/>
    <w:rsid w:val="3F5C0831"/>
    <w:rsid w:val="3F800545"/>
    <w:rsid w:val="3FA472C2"/>
    <w:rsid w:val="3FCB2BA2"/>
    <w:rsid w:val="3FD3623C"/>
    <w:rsid w:val="3FDB711E"/>
    <w:rsid w:val="3FEA1309"/>
    <w:rsid w:val="3FF23DFF"/>
    <w:rsid w:val="400821BF"/>
    <w:rsid w:val="40360757"/>
    <w:rsid w:val="405A301A"/>
    <w:rsid w:val="405B7A71"/>
    <w:rsid w:val="407030D5"/>
    <w:rsid w:val="40715B3F"/>
    <w:rsid w:val="40737706"/>
    <w:rsid w:val="409D5F8E"/>
    <w:rsid w:val="409D67A0"/>
    <w:rsid w:val="40B71606"/>
    <w:rsid w:val="40C02991"/>
    <w:rsid w:val="40C9492E"/>
    <w:rsid w:val="410F75B1"/>
    <w:rsid w:val="412630A4"/>
    <w:rsid w:val="41B02A03"/>
    <w:rsid w:val="41C36153"/>
    <w:rsid w:val="41D97077"/>
    <w:rsid w:val="42100D90"/>
    <w:rsid w:val="42410E18"/>
    <w:rsid w:val="428C432C"/>
    <w:rsid w:val="42942CE9"/>
    <w:rsid w:val="42D2207E"/>
    <w:rsid w:val="42E50305"/>
    <w:rsid w:val="430E7688"/>
    <w:rsid w:val="43823D2D"/>
    <w:rsid w:val="43AA3B53"/>
    <w:rsid w:val="43CD7F93"/>
    <w:rsid w:val="440346DF"/>
    <w:rsid w:val="443D14D7"/>
    <w:rsid w:val="44937AB8"/>
    <w:rsid w:val="4498362E"/>
    <w:rsid w:val="44AE4C13"/>
    <w:rsid w:val="44CB1DBF"/>
    <w:rsid w:val="44F12652"/>
    <w:rsid w:val="459B5718"/>
    <w:rsid w:val="45B862F4"/>
    <w:rsid w:val="45E5203E"/>
    <w:rsid w:val="45E8772F"/>
    <w:rsid w:val="45F079D7"/>
    <w:rsid w:val="464B3F52"/>
    <w:rsid w:val="467614DD"/>
    <w:rsid w:val="46A629D0"/>
    <w:rsid w:val="46F54DC3"/>
    <w:rsid w:val="473D2C53"/>
    <w:rsid w:val="477D6BB6"/>
    <w:rsid w:val="478D29B6"/>
    <w:rsid w:val="47970834"/>
    <w:rsid w:val="479C4D16"/>
    <w:rsid w:val="47AC60D2"/>
    <w:rsid w:val="47C936E2"/>
    <w:rsid w:val="481F2E4A"/>
    <w:rsid w:val="4898529D"/>
    <w:rsid w:val="493337E5"/>
    <w:rsid w:val="496E6CF1"/>
    <w:rsid w:val="497E4519"/>
    <w:rsid w:val="49850824"/>
    <w:rsid w:val="49877FB9"/>
    <w:rsid w:val="498B0C3F"/>
    <w:rsid w:val="49A87B9A"/>
    <w:rsid w:val="4A966213"/>
    <w:rsid w:val="4A9F1155"/>
    <w:rsid w:val="4B0871FE"/>
    <w:rsid w:val="4B603A1C"/>
    <w:rsid w:val="4BB5029D"/>
    <w:rsid w:val="4BB95825"/>
    <w:rsid w:val="4C021337"/>
    <w:rsid w:val="4C2952A4"/>
    <w:rsid w:val="4C3718D8"/>
    <w:rsid w:val="4C3F2AB3"/>
    <w:rsid w:val="4C8B3C60"/>
    <w:rsid w:val="4C933510"/>
    <w:rsid w:val="4D021D39"/>
    <w:rsid w:val="4D0F43A2"/>
    <w:rsid w:val="4D125564"/>
    <w:rsid w:val="4D292DCC"/>
    <w:rsid w:val="4D4760D1"/>
    <w:rsid w:val="4D80062F"/>
    <w:rsid w:val="4D8D00BF"/>
    <w:rsid w:val="4D8D45D5"/>
    <w:rsid w:val="4DB85F66"/>
    <w:rsid w:val="4DEB1475"/>
    <w:rsid w:val="4E4B23C5"/>
    <w:rsid w:val="4EA275CC"/>
    <w:rsid w:val="4EAC7F5C"/>
    <w:rsid w:val="4F1304AE"/>
    <w:rsid w:val="4F1B7FCA"/>
    <w:rsid w:val="4F4C07EF"/>
    <w:rsid w:val="4FAD545C"/>
    <w:rsid w:val="4FB34418"/>
    <w:rsid w:val="4FBA01D6"/>
    <w:rsid w:val="5047463D"/>
    <w:rsid w:val="50553224"/>
    <w:rsid w:val="50962C14"/>
    <w:rsid w:val="50A151EE"/>
    <w:rsid w:val="51261B47"/>
    <w:rsid w:val="512D5C0E"/>
    <w:rsid w:val="51350607"/>
    <w:rsid w:val="51501C57"/>
    <w:rsid w:val="51AF0B82"/>
    <w:rsid w:val="51D10245"/>
    <w:rsid w:val="51E51817"/>
    <w:rsid w:val="521444CD"/>
    <w:rsid w:val="521819EB"/>
    <w:rsid w:val="521F7279"/>
    <w:rsid w:val="52370ABA"/>
    <w:rsid w:val="52AE5F91"/>
    <w:rsid w:val="52B17EC9"/>
    <w:rsid w:val="52BF75FA"/>
    <w:rsid w:val="52D11B02"/>
    <w:rsid w:val="53081A44"/>
    <w:rsid w:val="53094E1B"/>
    <w:rsid w:val="53103EE3"/>
    <w:rsid w:val="5314024B"/>
    <w:rsid w:val="53471682"/>
    <w:rsid w:val="534B1CBA"/>
    <w:rsid w:val="53BE6D06"/>
    <w:rsid w:val="53EE03DA"/>
    <w:rsid w:val="540310C3"/>
    <w:rsid w:val="5438078B"/>
    <w:rsid w:val="54827745"/>
    <w:rsid w:val="54952C47"/>
    <w:rsid w:val="54F3082A"/>
    <w:rsid w:val="54F71DCA"/>
    <w:rsid w:val="55237251"/>
    <w:rsid w:val="55265118"/>
    <w:rsid w:val="557072FC"/>
    <w:rsid w:val="55712E34"/>
    <w:rsid w:val="558672BE"/>
    <w:rsid w:val="55D51FB5"/>
    <w:rsid w:val="561B1E15"/>
    <w:rsid w:val="562B0E92"/>
    <w:rsid w:val="56413190"/>
    <w:rsid w:val="564838CE"/>
    <w:rsid w:val="568C32D8"/>
    <w:rsid w:val="569C1194"/>
    <w:rsid w:val="56C85FA4"/>
    <w:rsid w:val="56FA3660"/>
    <w:rsid w:val="57402393"/>
    <w:rsid w:val="575D2802"/>
    <w:rsid w:val="57680F99"/>
    <w:rsid w:val="57953AC0"/>
    <w:rsid w:val="57C807A5"/>
    <w:rsid w:val="57D14ED3"/>
    <w:rsid w:val="57D712F8"/>
    <w:rsid w:val="57FD7811"/>
    <w:rsid w:val="581A4E59"/>
    <w:rsid w:val="585C4331"/>
    <w:rsid w:val="5863292D"/>
    <w:rsid w:val="58737150"/>
    <w:rsid w:val="588E22A1"/>
    <w:rsid w:val="58BA2CDC"/>
    <w:rsid w:val="58C6387F"/>
    <w:rsid w:val="58F4131B"/>
    <w:rsid w:val="590B1C29"/>
    <w:rsid w:val="59731CEF"/>
    <w:rsid w:val="598A6C4A"/>
    <w:rsid w:val="59AC03B2"/>
    <w:rsid w:val="59E97532"/>
    <w:rsid w:val="5A4C38C9"/>
    <w:rsid w:val="5A5E46DC"/>
    <w:rsid w:val="5A8326E8"/>
    <w:rsid w:val="5A9F1B71"/>
    <w:rsid w:val="5AD93472"/>
    <w:rsid w:val="5B0A3C4A"/>
    <w:rsid w:val="5B684EED"/>
    <w:rsid w:val="5B827230"/>
    <w:rsid w:val="5B97126E"/>
    <w:rsid w:val="5BEA58FD"/>
    <w:rsid w:val="5BFD30D6"/>
    <w:rsid w:val="5C00517C"/>
    <w:rsid w:val="5C1305CC"/>
    <w:rsid w:val="5C397819"/>
    <w:rsid w:val="5C603805"/>
    <w:rsid w:val="5C7B6CEF"/>
    <w:rsid w:val="5CBB13FC"/>
    <w:rsid w:val="5D0A7FA1"/>
    <w:rsid w:val="5D300ACE"/>
    <w:rsid w:val="5D6A7D19"/>
    <w:rsid w:val="5D74296B"/>
    <w:rsid w:val="5D7E2DC4"/>
    <w:rsid w:val="5D8F2DBB"/>
    <w:rsid w:val="5DAF02BB"/>
    <w:rsid w:val="5DC04C88"/>
    <w:rsid w:val="5DED4075"/>
    <w:rsid w:val="5DFF4F1D"/>
    <w:rsid w:val="5E002F53"/>
    <w:rsid w:val="5E115A4B"/>
    <w:rsid w:val="5E2E5C73"/>
    <w:rsid w:val="5E460F9C"/>
    <w:rsid w:val="5E842C35"/>
    <w:rsid w:val="5EA13B79"/>
    <w:rsid w:val="5EAF3A50"/>
    <w:rsid w:val="5EB657B4"/>
    <w:rsid w:val="5EDA2745"/>
    <w:rsid w:val="5EDB6700"/>
    <w:rsid w:val="5F402BDB"/>
    <w:rsid w:val="5F70528C"/>
    <w:rsid w:val="5F774B32"/>
    <w:rsid w:val="5F7A00B7"/>
    <w:rsid w:val="5F7D446F"/>
    <w:rsid w:val="5F872564"/>
    <w:rsid w:val="5F876E3E"/>
    <w:rsid w:val="5F90674A"/>
    <w:rsid w:val="60366783"/>
    <w:rsid w:val="603A3542"/>
    <w:rsid w:val="605B7DAB"/>
    <w:rsid w:val="606827B6"/>
    <w:rsid w:val="60C30DED"/>
    <w:rsid w:val="60C537BC"/>
    <w:rsid w:val="61186A0A"/>
    <w:rsid w:val="612857CB"/>
    <w:rsid w:val="614E331F"/>
    <w:rsid w:val="615F147D"/>
    <w:rsid w:val="61B57915"/>
    <w:rsid w:val="622F7825"/>
    <w:rsid w:val="62363DCC"/>
    <w:rsid w:val="625044BF"/>
    <w:rsid w:val="626715D1"/>
    <w:rsid w:val="62861DAE"/>
    <w:rsid w:val="62994EA6"/>
    <w:rsid w:val="62AC7DB2"/>
    <w:rsid w:val="62E95BB8"/>
    <w:rsid w:val="62FD0EB9"/>
    <w:rsid w:val="633C6AC5"/>
    <w:rsid w:val="636015E0"/>
    <w:rsid w:val="63AC3A7A"/>
    <w:rsid w:val="63D327D1"/>
    <w:rsid w:val="641B03CE"/>
    <w:rsid w:val="645F21FA"/>
    <w:rsid w:val="6472283B"/>
    <w:rsid w:val="64724CA2"/>
    <w:rsid w:val="64752632"/>
    <w:rsid w:val="64ED5BC5"/>
    <w:rsid w:val="6520069A"/>
    <w:rsid w:val="65294EBC"/>
    <w:rsid w:val="652D57B9"/>
    <w:rsid w:val="65717566"/>
    <w:rsid w:val="65A47390"/>
    <w:rsid w:val="65A77CF8"/>
    <w:rsid w:val="65D6208C"/>
    <w:rsid w:val="65E630C7"/>
    <w:rsid w:val="65F569F0"/>
    <w:rsid w:val="665C166D"/>
    <w:rsid w:val="668C13F7"/>
    <w:rsid w:val="66CE3E84"/>
    <w:rsid w:val="6745562F"/>
    <w:rsid w:val="67686B4D"/>
    <w:rsid w:val="677761CB"/>
    <w:rsid w:val="67DC2310"/>
    <w:rsid w:val="67ED469B"/>
    <w:rsid w:val="682551B7"/>
    <w:rsid w:val="68445538"/>
    <w:rsid w:val="68456425"/>
    <w:rsid w:val="685F3D11"/>
    <w:rsid w:val="68735EA1"/>
    <w:rsid w:val="68941C22"/>
    <w:rsid w:val="68F11752"/>
    <w:rsid w:val="68F6648D"/>
    <w:rsid w:val="69034441"/>
    <w:rsid w:val="691771DC"/>
    <w:rsid w:val="6928353E"/>
    <w:rsid w:val="694C3F1A"/>
    <w:rsid w:val="699B1FE8"/>
    <w:rsid w:val="69A925ED"/>
    <w:rsid w:val="69B74BCC"/>
    <w:rsid w:val="69C030FF"/>
    <w:rsid w:val="69C75812"/>
    <w:rsid w:val="6A2F2587"/>
    <w:rsid w:val="6A6E1D77"/>
    <w:rsid w:val="6A7D3D9A"/>
    <w:rsid w:val="6A8B2E4B"/>
    <w:rsid w:val="6AA9438D"/>
    <w:rsid w:val="6AB9072B"/>
    <w:rsid w:val="6B016B0E"/>
    <w:rsid w:val="6B2278B4"/>
    <w:rsid w:val="6B6252B0"/>
    <w:rsid w:val="6BB77932"/>
    <w:rsid w:val="6BBB6943"/>
    <w:rsid w:val="6BC77701"/>
    <w:rsid w:val="6BF245B8"/>
    <w:rsid w:val="6C17611A"/>
    <w:rsid w:val="6CB61F0C"/>
    <w:rsid w:val="6D09741B"/>
    <w:rsid w:val="6D141DAE"/>
    <w:rsid w:val="6D3E111E"/>
    <w:rsid w:val="6D65639A"/>
    <w:rsid w:val="6DBC3D26"/>
    <w:rsid w:val="6DE470D8"/>
    <w:rsid w:val="6E0F6C4E"/>
    <w:rsid w:val="6E131E4A"/>
    <w:rsid w:val="6E1E6466"/>
    <w:rsid w:val="6E6829B8"/>
    <w:rsid w:val="6E6A7106"/>
    <w:rsid w:val="6E754801"/>
    <w:rsid w:val="6EA05A6E"/>
    <w:rsid w:val="6EA9288E"/>
    <w:rsid w:val="6EB8335D"/>
    <w:rsid w:val="6EEC470E"/>
    <w:rsid w:val="6F0822CB"/>
    <w:rsid w:val="6F277B1F"/>
    <w:rsid w:val="6FA56E64"/>
    <w:rsid w:val="6FAD20B6"/>
    <w:rsid w:val="6FBD5AA9"/>
    <w:rsid w:val="6FF52A65"/>
    <w:rsid w:val="701F0004"/>
    <w:rsid w:val="705264E3"/>
    <w:rsid w:val="70C023A4"/>
    <w:rsid w:val="70D7336B"/>
    <w:rsid w:val="70F87C1E"/>
    <w:rsid w:val="71243512"/>
    <w:rsid w:val="713E6A39"/>
    <w:rsid w:val="71411B5E"/>
    <w:rsid w:val="714C6393"/>
    <w:rsid w:val="714E3E6E"/>
    <w:rsid w:val="71BE3D79"/>
    <w:rsid w:val="7202069B"/>
    <w:rsid w:val="7203765F"/>
    <w:rsid w:val="721B3AAA"/>
    <w:rsid w:val="726B6B76"/>
    <w:rsid w:val="7286394B"/>
    <w:rsid w:val="72E53C90"/>
    <w:rsid w:val="72FB1FF3"/>
    <w:rsid w:val="72FD4293"/>
    <w:rsid w:val="730E7B3E"/>
    <w:rsid w:val="73313733"/>
    <w:rsid w:val="73403F68"/>
    <w:rsid w:val="73483DE6"/>
    <w:rsid w:val="73A13A31"/>
    <w:rsid w:val="73BB4E24"/>
    <w:rsid w:val="73E9066C"/>
    <w:rsid w:val="74252347"/>
    <w:rsid w:val="74294D38"/>
    <w:rsid w:val="74333ACC"/>
    <w:rsid w:val="74CE51CD"/>
    <w:rsid w:val="74FF74BF"/>
    <w:rsid w:val="75711E9C"/>
    <w:rsid w:val="75991167"/>
    <w:rsid w:val="760B7828"/>
    <w:rsid w:val="76D71EA9"/>
    <w:rsid w:val="76D85AA0"/>
    <w:rsid w:val="76E72F69"/>
    <w:rsid w:val="76FC53E8"/>
    <w:rsid w:val="774E5706"/>
    <w:rsid w:val="7764329A"/>
    <w:rsid w:val="77750F58"/>
    <w:rsid w:val="778B4096"/>
    <w:rsid w:val="77B318FA"/>
    <w:rsid w:val="783220B0"/>
    <w:rsid w:val="78926772"/>
    <w:rsid w:val="789E7FFC"/>
    <w:rsid w:val="78B16881"/>
    <w:rsid w:val="78BF3F87"/>
    <w:rsid w:val="78CC606E"/>
    <w:rsid w:val="78E15400"/>
    <w:rsid w:val="7927328B"/>
    <w:rsid w:val="79614C7E"/>
    <w:rsid w:val="79912E27"/>
    <w:rsid w:val="79DE0A3C"/>
    <w:rsid w:val="7A0419AA"/>
    <w:rsid w:val="7A241ABD"/>
    <w:rsid w:val="7A5311E9"/>
    <w:rsid w:val="7A723DF1"/>
    <w:rsid w:val="7AAF681E"/>
    <w:rsid w:val="7AB77380"/>
    <w:rsid w:val="7B043C1C"/>
    <w:rsid w:val="7B8527F5"/>
    <w:rsid w:val="7C3B4B05"/>
    <w:rsid w:val="7C587DB7"/>
    <w:rsid w:val="7C5E2397"/>
    <w:rsid w:val="7C6F6D50"/>
    <w:rsid w:val="7C7526A9"/>
    <w:rsid w:val="7CB11B09"/>
    <w:rsid w:val="7CC81D82"/>
    <w:rsid w:val="7CEC4086"/>
    <w:rsid w:val="7D3156B1"/>
    <w:rsid w:val="7D3454DD"/>
    <w:rsid w:val="7D4C04A1"/>
    <w:rsid w:val="7D7871F0"/>
    <w:rsid w:val="7D851AB7"/>
    <w:rsid w:val="7D9C778E"/>
    <w:rsid w:val="7DBF4BB5"/>
    <w:rsid w:val="7DCB65B6"/>
    <w:rsid w:val="7DD81432"/>
    <w:rsid w:val="7DDD0612"/>
    <w:rsid w:val="7E60718C"/>
    <w:rsid w:val="7E617196"/>
    <w:rsid w:val="7E657B70"/>
    <w:rsid w:val="7E7B665C"/>
    <w:rsid w:val="7E805C5B"/>
    <w:rsid w:val="7EBE0087"/>
    <w:rsid w:val="7EC566DC"/>
    <w:rsid w:val="7EE178DF"/>
    <w:rsid w:val="7EEF4FAA"/>
    <w:rsid w:val="7EF4463F"/>
    <w:rsid w:val="7F2B0E9C"/>
    <w:rsid w:val="7F737C9D"/>
    <w:rsid w:val="7F910EEC"/>
    <w:rsid w:val="7FC26294"/>
    <w:rsid w:val="7FEB25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qFormat="1" w:uiPriority="0" w:semiHidden="0" w:name="List"/>
    <w:lsdException w:qFormat="1" w:unhideWhenUsed="0" w:uiPriority="0" w:semiHidden="0" w:name="List Bullet"/>
    <w:lsdException w:qFormat="1" w:uiPriority="0" w:semiHidden="0" w:name="List Number"/>
    <w:lsdException w:uiPriority="0" w:name="List 2"/>
    <w:lsdException w:uiPriority="0" w:name="List 3"/>
    <w:lsdException w:unhideWhenUsed="0" w:uiPriority="0" w:semiHidden="0" w:name="List 4"/>
    <w:lsdException w:unhideWhenUsed="0" w:uiPriority="0" w:semiHidden="0" w:name="List 5"/>
    <w:lsdException w:qFormat="1" w:uiPriority="0" w:semiHidden="0" w:name="List Bullet 2"/>
    <w:lsdException w:qFormat="1" w:uiPriority="0" w:semiHidden="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0"/>
    <w:qFormat/>
    <w:uiPriority w:val="0"/>
    <w:pPr>
      <w:keepNext/>
      <w:keepLines/>
      <w:spacing w:before="340" w:after="330" w:line="578" w:lineRule="auto"/>
      <w:outlineLvl w:val="0"/>
    </w:pPr>
    <w:rPr>
      <w:b/>
      <w:bCs/>
      <w:kern w:val="44"/>
      <w:sz w:val="30"/>
      <w:szCs w:val="44"/>
    </w:rPr>
  </w:style>
  <w:style w:type="paragraph" w:styleId="3">
    <w:name w:val="heading 2"/>
    <w:basedOn w:val="1"/>
    <w:next w:val="1"/>
    <w:link w:val="68"/>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4">
    <w:name w:val="heading 3"/>
    <w:basedOn w:val="1"/>
    <w:next w:val="1"/>
    <w:link w:val="98"/>
    <w:qFormat/>
    <w:uiPriority w:val="0"/>
    <w:pPr>
      <w:keepNext/>
      <w:keepLines/>
      <w:spacing w:before="260" w:after="260" w:line="416" w:lineRule="auto"/>
      <w:jc w:val="center"/>
      <w:outlineLvl w:val="2"/>
    </w:pPr>
    <w:rPr>
      <w:rFonts w:ascii="宋体"/>
      <w:b/>
      <w:bCs/>
      <w:sz w:val="32"/>
      <w:szCs w:val="32"/>
    </w:rPr>
  </w:style>
  <w:style w:type="paragraph" w:styleId="5">
    <w:name w:val="heading 4"/>
    <w:basedOn w:val="1"/>
    <w:next w:val="1"/>
    <w:link w:val="7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82"/>
    <w:qFormat/>
    <w:uiPriority w:val="0"/>
    <w:pPr>
      <w:keepNext/>
      <w:outlineLvl w:val="4"/>
    </w:pPr>
    <w:rPr>
      <w:rFonts w:ascii="宋体" w:hAnsi="Arial"/>
      <w:bCs/>
      <w:sz w:val="28"/>
    </w:rPr>
  </w:style>
  <w:style w:type="paragraph" w:styleId="7">
    <w:name w:val="heading 6"/>
    <w:basedOn w:val="1"/>
    <w:next w:val="1"/>
    <w:link w:val="76"/>
    <w:qFormat/>
    <w:uiPriority w:val="0"/>
    <w:pPr>
      <w:keepNext/>
      <w:autoSpaceDE w:val="0"/>
      <w:autoSpaceDN w:val="0"/>
      <w:adjustRightInd w:val="0"/>
      <w:spacing w:beforeLines="50" w:afterLines="50" w:line="300" w:lineRule="exact"/>
      <w:jc w:val="center"/>
      <w:outlineLvl w:val="5"/>
    </w:pPr>
    <w:rPr>
      <w:rFonts w:ascii="宋体" w:hAnsi="宋体"/>
      <w:kern w:val="0"/>
      <w:sz w:val="28"/>
    </w:rPr>
  </w:style>
  <w:style w:type="paragraph" w:styleId="8">
    <w:name w:val="heading 7"/>
    <w:basedOn w:val="1"/>
    <w:next w:val="1"/>
    <w:link w:val="93"/>
    <w:qFormat/>
    <w:uiPriority w:val="0"/>
    <w:pPr>
      <w:keepNext/>
      <w:keepLines/>
      <w:spacing w:before="240" w:after="64" w:line="320" w:lineRule="auto"/>
      <w:ind w:right="-24" w:rightChars="-10" w:firstLine="464" w:firstLineChars="225"/>
      <w:jc w:val="left"/>
      <w:outlineLvl w:val="6"/>
    </w:pPr>
    <w:rPr>
      <w:rFonts w:ascii="Arial" w:hAnsi="Arial" w:eastAsia="仿宋_GB2312" w:cs="Arial"/>
      <w:b/>
      <w:bCs/>
      <w:spacing w:val="-4"/>
      <w:sz w:val="24"/>
      <w:szCs w:val="24"/>
    </w:rPr>
  </w:style>
  <w:style w:type="paragraph" w:styleId="9">
    <w:name w:val="heading 8"/>
    <w:basedOn w:val="1"/>
    <w:next w:val="1"/>
    <w:link w:val="87"/>
    <w:qFormat/>
    <w:uiPriority w:val="0"/>
    <w:pPr>
      <w:keepNext/>
      <w:keepLines/>
      <w:tabs>
        <w:tab w:val="left" w:pos="0"/>
        <w:tab w:val="left" w:pos="3360"/>
      </w:tabs>
      <w:adjustRightInd w:val="0"/>
      <w:spacing w:line="360" w:lineRule="atLeast"/>
      <w:ind w:left="3360" w:hanging="420"/>
      <w:jc w:val="left"/>
      <w:outlineLvl w:val="7"/>
    </w:pPr>
    <w:rPr>
      <w:kern w:val="0"/>
      <w:sz w:val="24"/>
    </w:rPr>
  </w:style>
  <w:style w:type="paragraph" w:styleId="10">
    <w:name w:val="heading 9"/>
    <w:basedOn w:val="1"/>
    <w:next w:val="1"/>
    <w:link w:val="100"/>
    <w:qFormat/>
    <w:uiPriority w:val="0"/>
    <w:pPr>
      <w:keepNext/>
      <w:keepLines/>
      <w:tabs>
        <w:tab w:val="left" w:pos="0"/>
        <w:tab w:val="left" w:pos="3780"/>
      </w:tabs>
      <w:adjustRightInd w:val="0"/>
      <w:spacing w:line="360" w:lineRule="atLeast"/>
      <w:ind w:left="3780" w:hanging="420"/>
      <w:jc w:val="left"/>
      <w:outlineLvl w:val="8"/>
    </w:pPr>
    <w:rPr>
      <w:kern w:val="0"/>
      <w:sz w:val="24"/>
    </w:rPr>
  </w:style>
  <w:style w:type="character" w:default="1" w:styleId="58">
    <w:name w:val="Default Paragraph Font"/>
    <w:semiHidden/>
    <w:unhideWhenUsed/>
    <w:uiPriority w:val="1"/>
  </w:style>
  <w:style w:type="table" w:default="1" w:styleId="65">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106"/>
    <w:unhideWhenUsed/>
    <w:qFormat/>
    <w:uiPriority w:val="0"/>
    <w:pPr>
      <w:adjustRightInd w:val="0"/>
      <w:spacing w:line="360" w:lineRule="atLeast"/>
    </w:pPr>
    <w:rPr>
      <w:b/>
      <w:bCs/>
      <w:kern w:val="0"/>
      <w:sz w:val="24"/>
    </w:rPr>
  </w:style>
  <w:style w:type="paragraph" w:styleId="12">
    <w:name w:val="annotation text"/>
    <w:basedOn w:val="1"/>
    <w:link w:val="89"/>
    <w:qFormat/>
    <w:uiPriority w:val="0"/>
    <w:pPr>
      <w:jc w:val="left"/>
    </w:pPr>
  </w:style>
  <w:style w:type="paragraph" w:styleId="13">
    <w:name w:val="toc 7"/>
    <w:basedOn w:val="1"/>
    <w:next w:val="1"/>
    <w:qFormat/>
    <w:uiPriority w:val="0"/>
    <w:pPr>
      <w:ind w:left="1260"/>
      <w:jc w:val="left"/>
    </w:pPr>
    <w:rPr>
      <w:szCs w:val="21"/>
    </w:rPr>
  </w:style>
  <w:style w:type="paragraph" w:styleId="14">
    <w:name w:val="Body Text First Indent"/>
    <w:basedOn w:val="1"/>
    <w:link w:val="111"/>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15">
    <w:name w:val="table of authorities"/>
    <w:basedOn w:val="1"/>
    <w:next w:val="1"/>
    <w:qFormat/>
    <w:uiPriority w:val="0"/>
    <w:pPr>
      <w:ind w:left="420" w:leftChars="200"/>
    </w:pPr>
  </w:style>
  <w:style w:type="paragraph" w:styleId="16">
    <w:name w:val="index 8"/>
    <w:basedOn w:val="1"/>
    <w:next w:val="1"/>
    <w:qFormat/>
    <w:uiPriority w:val="0"/>
    <w:pPr>
      <w:ind w:left="1400" w:leftChars="1400"/>
    </w:pPr>
  </w:style>
  <w:style w:type="paragraph" w:styleId="17">
    <w:name w:val="List Number"/>
    <w:basedOn w:val="1"/>
    <w:unhideWhenUsed/>
    <w:qFormat/>
    <w:uiPriority w:val="0"/>
    <w:rPr>
      <w:rFonts w:ascii="黑体" w:hAnsi="Arial" w:eastAsia="黑体"/>
      <w:szCs w:val="24"/>
    </w:rPr>
  </w:style>
  <w:style w:type="paragraph" w:styleId="18">
    <w:name w:val="Normal Indent"/>
    <w:basedOn w:val="1"/>
    <w:link w:val="85"/>
    <w:qFormat/>
    <w:uiPriority w:val="0"/>
    <w:pPr>
      <w:spacing w:after="156"/>
      <w:ind w:firstLine="420"/>
    </w:pPr>
    <w:rPr>
      <w:rFonts w:ascii="Calibri" w:hAnsi="Calibri" w:cs="Plotter"/>
      <w:sz w:val="24"/>
      <w:szCs w:val="24"/>
    </w:rPr>
  </w:style>
  <w:style w:type="paragraph" w:styleId="19">
    <w:name w:val="index 5"/>
    <w:basedOn w:val="1"/>
    <w:next w:val="1"/>
    <w:qFormat/>
    <w:uiPriority w:val="0"/>
    <w:pPr>
      <w:ind w:left="800" w:leftChars="800"/>
    </w:pPr>
  </w:style>
  <w:style w:type="paragraph" w:styleId="20">
    <w:name w:val="List Bullet"/>
    <w:basedOn w:val="1"/>
    <w:qFormat/>
    <w:uiPriority w:val="0"/>
    <w:pPr>
      <w:tabs>
        <w:tab w:val="left" w:pos="360"/>
      </w:tabs>
      <w:ind w:left="1620" w:hanging="360"/>
    </w:pPr>
  </w:style>
  <w:style w:type="paragraph" w:styleId="21">
    <w:name w:val="Document Map"/>
    <w:basedOn w:val="1"/>
    <w:link w:val="107"/>
    <w:qFormat/>
    <w:uiPriority w:val="0"/>
    <w:pPr>
      <w:shd w:val="clear" w:color="auto" w:fill="000080"/>
    </w:pPr>
  </w:style>
  <w:style w:type="paragraph" w:styleId="22">
    <w:name w:val="toa heading"/>
    <w:basedOn w:val="1"/>
    <w:next w:val="1"/>
    <w:qFormat/>
    <w:uiPriority w:val="0"/>
    <w:pPr>
      <w:spacing w:before="120"/>
    </w:pPr>
    <w:rPr>
      <w:rFonts w:ascii="Arial" w:hAnsi="Arial"/>
      <w:b/>
      <w:bCs/>
      <w:szCs w:val="24"/>
    </w:rPr>
  </w:style>
  <w:style w:type="paragraph" w:styleId="23">
    <w:name w:val="index 6"/>
    <w:basedOn w:val="1"/>
    <w:next w:val="1"/>
    <w:qFormat/>
    <w:uiPriority w:val="0"/>
    <w:pPr>
      <w:ind w:left="1000" w:leftChars="1000"/>
    </w:pPr>
  </w:style>
  <w:style w:type="paragraph" w:styleId="24">
    <w:name w:val="Body Text 3"/>
    <w:basedOn w:val="1"/>
    <w:link w:val="99"/>
    <w:qFormat/>
    <w:uiPriority w:val="0"/>
    <w:rPr>
      <w:rFonts w:ascii="黑体" w:hAnsi="Arial" w:eastAsia="黑体"/>
      <w:b/>
      <w:sz w:val="28"/>
    </w:rPr>
  </w:style>
  <w:style w:type="paragraph" w:styleId="25">
    <w:name w:val="List Bullet 3"/>
    <w:basedOn w:val="1"/>
    <w:unhideWhenUsed/>
    <w:qFormat/>
    <w:uiPriority w:val="0"/>
    <w:pPr>
      <w:adjustRightInd w:val="0"/>
      <w:spacing w:line="360" w:lineRule="atLeast"/>
      <w:contextualSpacing/>
      <w:jc w:val="left"/>
    </w:pPr>
    <w:rPr>
      <w:kern w:val="0"/>
      <w:sz w:val="24"/>
    </w:rPr>
  </w:style>
  <w:style w:type="paragraph" w:styleId="26">
    <w:name w:val="Body Text"/>
    <w:basedOn w:val="1"/>
    <w:link w:val="104"/>
    <w:qFormat/>
    <w:uiPriority w:val="0"/>
    <w:rPr>
      <w:rFonts w:ascii="宋体" w:hAnsi="Arial"/>
      <w:sz w:val="28"/>
    </w:rPr>
  </w:style>
  <w:style w:type="paragraph" w:styleId="27">
    <w:name w:val="Body Text Indent"/>
    <w:basedOn w:val="1"/>
    <w:link w:val="108"/>
    <w:qFormat/>
    <w:uiPriority w:val="0"/>
    <w:pPr>
      <w:ind w:firstLine="645"/>
    </w:pPr>
    <w:rPr>
      <w:rFonts w:ascii="楷体_GB2312" w:eastAsia="楷体_GB2312"/>
      <w:sz w:val="32"/>
    </w:rPr>
  </w:style>
  <w:style w:type="paragraph" w:styleId="28">
    <w:name w:val="Block Text"/>
    <w:basedOn w:val="1"/>
    <w:qFormat/>
    <w:uiPriority w:val="0"/>
    <w:pPr>
      <w:spacing w:after="156"/>
    </w:pPr>
    <w:rPr>
      <w:rFonts w:ascii="宋体" w:hAnsi="Calibri"/>
      <w:szCs w:val="22"/>
    </w:rPr>
  </w:style>
  <w:style w:type="paragraph" w:styleId="29">
    <w:name w:val="List Bullet 2"/>
    <w:basedOn w:val="1"/>
    <w:unhideWhenUsed/>
    <w:qFormat/>
    <w:uiPriority w:val="0"/>
    <w:pPr>
      <w:adjustRightInd w:val="0"/>
      <w:spacing w:line="360" w:lineRule="atLeast"/>
      <w:jc w:val="left"/>
    </w:pPr>
    <w:rPr>
      <w:kern w:val="0"/>
      <w:sz w:val="24"/>
    </w:rPr>
  </w:style>
  <w:style w:type="paragraph" w:styleId="30">
    <w:name w:val="index 4"/>
    <w:basedOn w:val="1"/>
    <w:next w:val="1"/>
    <w:qFormat/>
    <w:uiPriority w:val="0"/>
    <w:pPr>
      <w:ind w:left="600" w:leftChars="600"/>
    </w:pPr>
  </w:style>
  <w:style w:type="paragraph" w:styleId="31">
    <w:name w:val="toc 5"/>
    <w:basedOn w:val="1"/>
    <w:next w:val="1"/>
    <w:qFormat/>
    <w:uiPriority w:val="0"/>
    <w:pPr>
      <w:ind w:left="840"/>
      <w:jc w:val="left"/>
    </w:pPr>
    <w:rPr>
      <w:szCs w:val="21"/>
    </w:rPr>
  </w:style>
  <w:style w:type="paragraph" w:styleId="32">
    <w:name w:val="toc 3"/>
    <w:basedOn w:val="1"/>
    <w:next w:val="1"/>
    <w:qFormat/>
    <w:uiPriority w:val="39"/>
    <w:pPr>
      <w:tabs>
        <w:tab w:val="right" w:leader="dot" w:pos="9403"/>
      </w:tabs>
      <w:spacing w:line="300" w:lineRule="auto"/>
      <w:ind w:left="420"/>
      <w:jc w:val="left"/>
    </w:pPr>
    <w:rPr>
      <w:rFonts w:ascii="宋体" w:hAnsi="宋体"/>
      <w:iCs/>
      <w:sz w:val="18"/>
      <w:szCs w:val="24"/>
    </w:rPr>
  </w:style>
  <w:style w:type="paragraph" w:styleId="33">
    <w:name w:val="Plain Text"/>
    <w:basedOn w:val="1"/>
    <w:link w:val="90"/>
    <w:qFormat/>
    <w:uiPriority w:val="0"/>
    <w:rPr>
      <w:rFonts w:ascii="宋体" w:hAnsi="Courier New"/>
    </w:rPr>
  </w:style>
  <w:style w:type="paragraph" w:styleId="34">
    <w:name w:val="toc 8"/>
    <w:basedOn w:val="1"/>
    <w:next w:val="1"/>
    <w:qFormat/>
    <w:uiPriority w:val="0"/>
    <w:pPr>
      <w:ind w:left="1470"/>
      <w:jc w:val="left"/>
    </w:pPr>
    <w:rPr>
      <w:szCs w:val="21"/>
    </w:rPr>
  </w:style>
  <w:style w:type="paragraph" w:styleId="35">
    <w:name w:val="index 3"/>
    <w:basedOn w:val="1"/>
    <w:next w:val="1"/>
    <w:qFormat/>
    <w:uiPriority w:val="0"/>
    <w:pPr>
      <w:ind w:left="400" w:leftChars="400"/>
    </w:pPr>
  </w:style>
  <w:style w:type="paragraph" w:styleId="36">
    <w:name w:val="Date"/>
    <w:basedOn w:val="1"/>
    <w:next w:val="1"/>
    <w:link w:val="69"/>
    <w:qFormat/>
    <w:uiPriority w:val="0"/>
    <w:rPr>
      <w:b/>
      <w:sz w:val="28"/>
    </w:rPr>
  </w:style>
  <w:style w:type="paragraph" w:styleId="37">
    <w:name w:val="Body Text Indent 2"/>
    <w:basedOn w:val="1"/>
    <w:link w:val="91"/>
    <w:qFormat/>
    <w:uiPriority w:val="0"/>
    <w:pPr>
      <w:ind w:left="630" w:firstLine="645"/>
    </w:pPr>
    <w:rPr>
      <w:rFonts w:ascii="Arial" w:hAnsi="Arial" w:eastAsia="仿宋_GB2312"/>
      <w:sz w:val="32"/>
    </w:rPr>
  </w:style>
  <w:style w:type="paragraph" w:styleId="38">
    <w:name w:val="Balloon Text"/>
    <w:basedOn w:val="1"/>
    <w:link w:val="78"/>
    <w:qFormat/>
    <w:uiPriority w:val="99"/>
    <w:rPr>
      <w:sz w:val="18"/>
      <w:szCs w:val="18"/>
    </w:rPr>
  </w:style>
  <w:style w:type="paragraph" w:styleId="39">
    <w:name w:val="footer"/>
    <w:basedOn w:val="1"/>
    <w:link w:val="81"/>
    <w:unhideWhenUsed/>
    <w:qFormat/>
    <w:uiPriority w:val="0"/>
    <w:pPr>
      <w:tabs>
        <w:tab w:val="center" w:pos="4153"/>
        <w:tab w:val="right" w:pos="8306"/>
      </w:tabs>
      <w:snapToGrid w:val="0"/>
      <w:jc w:val="left"/>
    </w:pPr>
    <w:rPr>
      <w:sz w:val="18"/>
      <w:szCs w:val="18"/>
    </w:rPr>
  </w:style>
  <w:style w:type="paragraph" w:styleId="40">
    <w:name w:val="header"/>
    <w:basedOn w:val="1"/>
    <w:link w:val="105"/>
    <w:unhideWhenUsed/>
    <w:qFormat/>
    <w:uiPriority w:val="0"/>
    <w:pPr>
      <w:pBdr>
        <w:bottom w:val="single" w:color="auto" w:sz="6" w:space="1"/>
      </w:pBdr>
      <w:tabs>
        <w:tab w:val="center" w:pos="4153"/>
        <w:tab w:val="right" w:pos="8306"/>
      </w:tabs>
      <w:snapToGrid w:val="0"/>
      <w:jc w:val="center"/>
    </w:pPr>
    <w:rPr>
      <w:sz w:val="18"/>
      <w:szCs w:val="18"/>
    </w:rPr>
  </w:style>
  <w:style w:type="paragraph" w:styleId="41">
    <w:name w:val="toc 1"/>
    <w:basedOn w:val="1"/>
    <w:next w:val="1"/>
    <w:qFormat/>
    <w:uiPriority w:val="0"/>
    <w:pPr>
      <w:spacing w:before="120" w:after="120"/>
      <w:jc w:val="left"/>
    </w:pPr>
    <w:rPr>
      <w:caps/>
      <w:sz w:val="18"/>
      <w:szCs w:val="24"/>
    </w:rPr>
  </w:style>
  <w:style w:type="paragraph" w:styleId="42">
    <w:name w:val="toc 4"/>
    <w:basedOn w:val="1"/>
    <w:next w:val="1"/>
    <w:qFormat/>
    <w:uiPriority w:val="0"/>
    <w:pPr>
      <w:ind w:left="630"/>
      <w:jc w:val="left"/>
    </w:pPr>
    <w:rPr>
      <w:szCs w:val="21"/>
    </w:rPr>
  </w:style>
  <w:style w:type="paragraph" w:styleId="43">
    <w:name w:val="index heading"/>
    <w:basedOn w:val="1"/>
    <w:next w:val="44"/>
    <w:qFormat/>
    <w:uiPriority w:val="0"/>
  </w:style>
  <w:style w:type="paragraph" w:styleId="44">
    <w:name w:val="index 1"/>
    <w:basedOn w:val="1"/>
    <w:next w:val="1"/>
    <w:qFormat/>
    <w:uiPriority w:val="0"/>
    <w:pPr>
      <w:jc w:val="center"/>
    </w:pPr>
    <w:rPr>
      <w:rFonts w:ascii="仿宋_GB2312" w:eastAsia="仿宋_GB2312"/>
      <w:b/>
      <w:bCs/>
      <w:sz w:val="28"/>
    </w:rPr>
  </w:style>
  <w:style w:type="paragraph" w:styleId="45">
    <w:name w:val="Subtitle"/>
    <w:basedOn w:val="1"/>
    <w:link w:val="73"/>
    <w:qFormat/>
    <w:uiPriority w:val="0"/>
    <w:pPr>
      <w:adjustRightInd w:val="0"/>
      <w:spacing w:before="240" w:after="60" w:line="312" w:lineRule="atLeast"/>
      <w:jc w:val="center"/>
      <w:outlineLvl w:val="1"/>
    </w:pPr>
    <w:rPr>
      <w:rFonts w:ascii="Arial" w:hAnsi="Arial" w:cs="Arial"/>
      <w:b/>
      <w:bCs/>
      <w:kern w:val="28"/>
      <w:sz w:val="32"/>
      <w:szCs w:val="32"/>
    </w:rPr>
  </w:style>
  <w:style w:type="paragraph" w:styleId="46">
    <w:name w:val="List"/>
    <w:basedOn w:val="1"/>
    <w:unhideWhenUsed/>
    <w:qFormat/>
    <w:uiPriority w:val="0"/>
    <w:pPr>
      <w:ind w:left="420" w:hanging="420"/>
    </w:pPr>
  </w:style>
  <w:style w:type="paragraph" w:styleId="47">
    <w:name w:val="toc 6"/>
    <w:basedOn w:val="1"/>
    <w:next w:val="1"/>
    <w:qFormat/>
    <w:uiPriority w:val="0"/>
    <w:pPr>
      <w:ind w:left="1050"/>
      <w:jc w:val="left"/>
    </w:pPr>
    <w:rPr>
      <w:szCs w:val="21"/>
    </w:rPr>
  </w:style>
  <w:style w:type="paragraph" w:styleId="48">
    <w:name w:val="Body Text Indent 3"/>
    <w:basedOn w:val="1"/>
    <w:link w:val="94"/>
    <w:qFormat/>
    <w:uiPriority w:val="0"/>
    <w:pPr>
      <w:ind w:firstLine="645"/>
    </w:pPr>
    <w:rPr>
      <w:rFonts w:ascii="仿宋_GB2312" w:hAnsi="Arial" w:eastAsia="仿宋_GB2312"/>
      <w:color w:val="000000"/>
      <w:sz w:val="30"/>
    </w:rPr>
  </w:style>
  <w:style w:type="paragraph" w:styleId="49">
    <w:name w:val="index 7"/>
    <w:basedOn w:val="1"/>
    <w:next w:val="1"/>
    <w:qFormat/>
    <w:uiPriority w:val="0"/>
    <w:pPr>
      <w:ind w:left="1200" w:leftChars="1200"/>
    </w:pPr>
  </w:style>
  <w:style w:type="paragraph" w:styleId="50">
    <w:name w:val="index 9"/>
    <w:basedOn w:val="1"/>
    <w:next w:val="1"/>
    <w:qFormat/>
    <w:uiPriority w:val="0"/>
    <w:pPr>
      <w:ind w:left="1600" w:leftChars="1600"/>
    </w:pPr>
  </w:style>
  <w:style w:type="paragraph" w:styleId="51">
    <w:name w:val="toc 2"/>
    <w:basedOn w:val="1"/>
    <w:next w:val="1"/>
    <w:qFormat/>
    <w:uiPriority w:val="39"/>
    <w:pPr>
      <w:ind w:left="210"/>
      <w:jc w:val="left"/>
    </w:pPr>
    <w:rPr>
      <w:smallCaps/>
      <w:sz w:val="18"/>
      <w:szCs w:val="24"/>
    </w:rPr>
  </w:style>
  <w:style w:type="paragraph" w:styleId="52">
    <w:name w:val="toc 9"/>
    <w:basedOn w:val="1"/>
    <w:next w:val="1"/>
    <w:qFormat/>
    <w:uiPriority w:val="0"/>
    <w:pPr>
      <w:ind w:left="1680"/>
      <w:jc w:val="left"/>
    </w:pPr>
    <w:rPr>
      <w:szCs w:val="21"/>
    </w:rPr>
  </w:style>
  <w:style w:type="paragraph" w:styleId="53">
    <w:name w:val="Body Text 2"/>
    <w:basedOn w:val="1"/>
    <w:link w:val="88"/>
    <w:qFormat/>
    <w:uiPriority w:val="0"/>
    <w:rPr>
      <w:rFonts w:ascii="仿宋_GB2312" w:eastAsia="仿宋_GB2312"/>
      <w:b/>
      <w:sz w:val="24"/>
    </w:rPr>
  </w:style>
  <w:style w:type="paragraph" w:styleId="54">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55">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56">
    <w:name w:val="index 2"/>
    <w:basedOn w:val="1"/>
    <w:next w:val="1"/>
    <w:qFormat/>
    <w:uiPriority w:val="0"/>
    <w:pPr>
      <w:ind w:left="200" w:leftChars="200"/>
    </w:pPr>
  </w:style>
  <w:style w:type="paragraph" w:styleId="57">
    <w:name w:val="Title"/>
    <w:basedOn w:val="1"/>
    <w:next w:val="1"/>
    <w:link w:val="92"/>
    <w:qFormat/>
    <w:uiPriority w:val="0"/>
    <w:pPr>
      <w:tabs>
        <w:tab w:val="left" w:pos="425"/>
        <w:tab w:val="left" w:pos="840"/>
      </w:tabs>
      <w:spacing w:before="240" w:after="60"/>
      <w:ind w:left="425" w:hanging="425"/>
      <w:jc w:val="center"/>
      <w:outlineLvl w:val="0"/>
    </w:pPr>
    <w:rPr>
      <w:rFonts w:ascii="黑体" w:hAnsi="Arial" w:eastAsia="黑体" w:cs="Arial"/>
      <w:bCs/>
      <w:sz w:val="32"/>
      <w:szCs w:val="32"/>
    </w:rPr>
  </w:style>
  <w:style w:type="character" w:styleId="59">
    <w:name w:val="Strong"/>
    <w:qFormat/>
    <w:uiPriority w:val="0"/>
    <w:rPr>
      <w:b/>
      <w:bCs/>
    </w:rPr>
  </w:style>
  <w:style w:type="character" w:styleId="60">
    <w:name w:val="page number"/>
    <w:basedOn w:val="58"/>
    <w:qFormat/>
    <w:uiPriority w:val="0"/>
  </w:style>
  <w:style w:type="character" w:styleId="61">
    <w:name w:val="FollowedHyperlink"/>
    <w:qFormat/>
    <w:uiPriority w:val="0"/>
    <w:rPr>
      <w:color w:val="800080"/>
      <w:u w:val="single"/>
    </w:rPr>
  </w:style>
  <w:style w:type="character" w:styleId="62">
    <w:name w:val="Emphasis"/>
    <w:qFormat/>
    <w:uiPriority w:val="0"/>
    <w:rPr>
      <w:color w:val="CC0033"/>
    </w:rPr>
  </w:style>
  <w:style w:type="character" w:styleId="63">
    <w:name w:val="Hyperlink"/>
    <w:qFormat/>
    <w:uiPriority w:val="99"/>
    <w:rPr>
      <w:color w:val="0000FF"/>
      <w:u w:val="single"/>
    </w:rPr>
  </w:style>
  <w:style w:type="character" w:styleId="64">
    <w:name w:val="annotation reference"/>
    <w:qFormat/>
    <w:uiPriority w:val="0"/>
    <w:rPr>
      <w:sz w:val="21"/>
      <w:szCs w:val="21"/>
    </w:rPr>
  </w:style>
  <w:style w:type="table" w:styleId="66">
    <w:name w:val="Table Grid"/>
    <w:basedOn w:val="65"/>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67">
    <w:name w:val="批注文字 Char"/>
    <w:qFormat/>
    <w:uiPriority w:val="0"/>
    <w:rPr>
      <w:rFonts w:ascii="Times New Roman" w:hAnsi="Times New Roman" w:eastAsia="宋体" w:cs="Times New Roman"/>
      <w:szCs w:val="20"/>
    </w:rPr>
  </w:style>
  <w:style w:type="character" w:customStyle="1" w:styleId="68">
    <w:name w:val="标题 2 Char1"/>
    <w:link w:val="3"/>
    <w:qFormat/>
    <w:uiPriority w:val="0"/>
    <w:rPr>
      <w:rFonts w:ascii="Arial" w:hAnsi="Arial" w:eastAsia="黑体"/>
      <w:b/>
      <w:bCs/>
      <w:kern w:val="2"/>
      <w:sz w:val="32"/>
      <w:szCs w:val="32"/>
      <w:lang w:val="en-US" w:eastAsia="zh-CN" w:bidi="ar-SA"/>
    </w:rPr>
  </w:style>
  <w:style w:type="character" w:customStyle="1" w:styleId="69">
    <w:name w:val="日期 Char1"/>
    <w:link w:val="36"/>
    <w:qFormat/>
    <w:uiPriority w:val="0"/>
    <w:rPr>
      <w:rFonts w:eastAsia="宋体"/>
      <w:b/>
      <w:kern w:val="2"/>
      <w:sz w:val="28"/>
      <w:lang w:val="en-US" w:eastAsia="zh-CN" w:bidi="ar-SA"/>
    </w:rPr>
  </w:style>
  <w:style w:type="character" w:customStyle="1" w:styleId="70">
    <w:name w:val="正文文本缩进 Char1"/>
    <w:qFormat/>
    <w:uiPriority w:val="0"/>
    <w:rPr>
      <w:kern w:val="2"/>
      <w:sz w:val="21"/>
      <w:szCs w:val="24"/>
    </w:rPr>
  </w:style>
  <w:style w:type="character" w:customStyle="1" w:styleId="71">
    <w:name w:val="样式 首行缩进:  2 字符 Char1"/>
    <w:link w:val="72"/>
    <w:qFormat/>
    <w:locked/>
    <w:uiPriority w:val="0"/>
    <w:rPr>
      <w:sz w:val="24"/>
      <w:lang w:bidi="ar-SA"/>
    </w:rPr>
  </w:style>
  <w:style w:type="paragraph" w:customStyle="1" w:styleId="72">
    <w:name w:val="样式 首行缩进:  2 字符"/>
    <w:basedOn w:val="1"/>
    <w:link w:val="71"/>
    <w:qFormat/>
    <w:uiPriority w:val="0"/>
    <w:pPr>
      <w:spacing w:line="480" w:lineRule="exact"/>
      <w:ind w:firstLine="480" w:firstLineChars="200"/>
    </w:pPr>
    <w:rPr>
      <w:kern w:val="0"/>
      <w:sz w:val="24"/>
    </w:rPr>
  </w:style>
  <w:style w:type="character" w:customStyle="1" w:styleId="73">
    <w:name w:val="副标题 Char2"/>
    <w:link w:val="45"/>
    <w:qFormat/>
    <w:uiPriority w:val="0"/>
    <w:rPr>
      <w:rFonts w:ascii="Arial" w:hAnsi="Arial" w:eastAsia="宋体" w:cs="Arial"/>
      <w:b/>
      <w:bCs/>
      <w:kern w:val="28"/>
      <w:sz w:val="32"/>
      <w:szCs w:val="32"/>
      <w:lang w:val="en-US" w:eastAsia="zh-CN" w:bidi="ar-SA"/>
    </w:rPr>
  </w:style>
  <w:style w:type="character" w:customStyle="1" w:styleId="74">
    <w:name w:val="标题 1 Char1"/>
    <w:qFormat/>
    <w:uiPriority w:val="0"/>
    <w:rPr>
      <w:b/>
      <w:bCs/>
      <w:kern w:val="44"/>
      <w:sz w:val="44"/>
      <w:szCs w:val="44"/>
    </w:rPr>
  </w:style>
  <w:style w:type="character" w:customStyle="1" w:styleId="75">
    <w:name w:val="纯文本 字符"/>
    <w:qFormat/>
    <w:uiPriority w:val="0"/>
    <w:rPr>
      <w:rFonts w:ascii="宋体" w:hAnsi="Courier New"/>
      <w:kern w:val="2"/>
      <w:sz w:val="21"/>
    </w:rPr>
  </w:style>
  <w:style w:type="character" w:customStyle="1" w:styleId="76">
    <w:name w:val="标题 6 Char1"/>
    <w:link w:val="7"/>
    <w:qFormat/>
    <w:uiPriority w:val="0"/>
    <w:rPr>
      <w:rFonts w:ascii="宋体" w:hAnsi="宋体" w:eastAsia="宋体"/>
      <w:sz w:val="28"/>
      <w:lang w:val="en-US" w:eastAsia="zh-CN" w:bidi="ar-SA"/>
    </w:rPr>
  </w:style>
  <w:style w:type="character" w:customStyle="1" w:styleId="77">
    <w:name w:val="普通文字1 Char1"/>
    <w:qFormat/>
    <w:uiPriority w:val="0"/>
    <w:rPr>
      <w:rFonts w:ascii="宋体" w:hAnsi="Courier New" w:cs="Courier New"/>
      <w:kern w:val="2"/>
      <w:sz w:val="21"/>
      <w:szCs w:val="21"/>
    </w:rPr>
  </w:style>
  <w:style w:type="character" w:customStyle="1" w:styleId="78">
    <w:name w:val="批注框文本 Char1"/>
    <w:link w:val="38"/>
    <w:semiHidden/>
    <w:qFormat/>
    <w:uiPriority w:val="99"/>
    <w:rPr>
      <w:rFonts w:eastAsia="宋体"/>
      <w:kern w:val="2"/>
      <w:sz w:val="18"/>
      <w:szCs w:val="18"/>
      <w:lang w:val="en-US" w:eastAsia="zh-CN" w:bidi="ar-SA"/>
    </w:rPr>
  </w:style>
  <w:style w:type="character" w:customStyle="1" w:styleId="79">
    <w:name w:val="标题 4 Char1"/>
    <w:link w:val="5"/>
    <w:qFormat/>
    <w:uiPriority w:val="0"/>
    <w:rPr>
      <w:rFonts w:ascii="Arial" w:hAnsi="Arial" w:eastAsia="黑体"/>
      <w:b/>
      <w:bCs/>
      <w:kern w:val="2"/>
      <w:sz w:val="28"/>
      <w:szCs w:val="28"/>
      <w:lang w:val="en-US" w:eastAsia="zh-CN" w:bidi="ar-SA"/>
    </w:rPr>
  </w:style>
  <w:style w:type="character" w:customStyle="1" w:styleId="80">
    <w:name w:val="标题 1 Char2"/>
    <w:link w:val="2"/>
    <w:qFormat/>
    <w:uiPriority w:val="0"/>
    <w:rPr>
      <w:rFonts w:eastAsia="宋体"/>
      <w:b/>
      <w:bCs/>
      <w:kern w:val="44"/>
      <w:sz w:val="30"/>
      <w:szCs w:val="44"/>
      <w:lang w:val="en-US" w:eastAsia="zh-CN" w:bidi="ar-SA"/>
    </w:rPr>
  </w:style>
  <w:style w:type="character" w:customStyle="1" w:styleId="81">
    <w:name w:val="页脚 Char1"/>
    <w:link w:val="39"/>
    <w:qFormat/>
    <w:uiPriority w:val="99"/>
    <w:rPr>
      <w:rFonts w:eastAsia="宋体"/>
      <w:kern w:val="2"/>
      <w:sz w:val="18"/>
      <w:szCs w:val="18"/>
      <w:lang w:val="en-US" w:eastAsia="zh-CN" w:bidi="ar-SA"/>
    </w:rPr>
  </w:style>
  <w:style w:type="character" w:customStyle="1" w:styleId="82">
    <w:name w:val="标题 5 Char1"/>
    <w:link w:val="6"/>
    <w:qFormat/>
    <w:uiPriority w:val="0"/>
    <w:rPr>
      <w:rFonts w:ascii="宋体" w:hAnsi="Arial" w:eastAsia="宋体"/>
      <w:bCs/>
      <w:kern w:val="2"/>
      <w:sz w:val="28"/>
      <w:lang w:val="en-US" w:eastAsia="zh-CN" w:bidi="ar-SA"/>
    </w:rPr>
  </w:style>
  <w:style w:type="character" w:customStyle="1" w:styleId="83">
    <w:name w:val="文档 Char"/>
    <w:link w:val="84"/>
    <w:qFormat/>
    <w:locked/>
    <w:uiPriority w:val="0"/>
    <w:rPr>
      <w:sz w:val="24"/>
      <w:szCs w:val="24"/>
      <w:lang w:bidi="ar-SA"/>
    </w:rPr>
  </w:style>
  <w:style w:type="paragraph" w:customStyle="1" w:styleId="84">
    <w:name w:val="文档"/>
    <w:basedOn w:val="1"/>
    <w:link w:val="83"/>
    <w:qFormat/>
    <w:uiPriority w:val="0"/>
    <w:pPr>
      <w:adjustRightInd w:val="0"/>
      <w:snapToGrid w:val="0"/>
      <w:spacing w:afterLines="50"/>
      <w:ind w:firstLine="480" w:firstLineChars="200"/>
      <w:jc w:val="left"/>
    </w:pPr>
    <w:rPr>
      <w:kern w:val="0"/>
      <w:sz w:val="24"/>
      <w:szCs w:val="24"/>
    </w:rPr>
  </w:style>
  <w:style w:type="character" w:customStyle="1" w:styleId="85">
    <w:name w:val="正文缩进 Char"/>
    <w:link w:val="18"/>
    <w:qFormat/>
    <w:uiPriority w:val="0"/>
    <w:rPr>
      <w:rFonts w:ascii="Calibri" w:hAnsi="Calibri" w:eastAsia="宋体" w:cs="Plotter"/>
      <w:kern w:val="2"/>
      <w:sz w:val="24"/>
      <w:szCs w:val="24"/>
      <w:lang w:val="en-US" w:eastAsia="zh-CN" w:bidi="ar-SA"/>
    </w:rPr>
  </w:style>
  <w:style w:type="character" w:customStyle="1" w:styleId="86">
    <w:name w:val="Date Char"/>
    <w:qFormat/>
    <w:locked/>
    <w:uiPriority w:val="0"/>
    <w:rPr>
      <w:rFonts w:eastAsia="宋体"/>
      <w:b/>
      <w:kern w:val="2"/>
      <w:sz w:val="28"/>
      <w:lang w:val="en-US" w:eastAsia="zh-CN" w:bidi="ar-SA"/>
    </w:rPr>
  </w:style>
  <w:style w:type="character" w:customStyle="1" w:styleId="87">
    <w:name w:val="标题 8 Char1"/>
    <w:link w:val="9"/>
    <w:qFormat/>
    <w:uiPriority w:val="0"/>
    <w:rPr>
      <w:rFonts w:eastAsia="宋体"/>
      <w:sz w:val="24"/>
      <w:lang w:val="en-US" w:eastAsia="zh-CN" w:bidi="ar-SA"/>
    </w:rPr>
  </w:style>
  <w:style w:type="character" w:customStyle="1" w:styleId="88">
    <w:name w:val="正文文本 2 Char1"/>
    <w:link w:val="53"/>
    <w:qFormat/>
    <w:uiPriority w:val="0"/>
    <w:rPr>
      <w:rFonts w:ascii="仿宋_GB2312" w:eastAsia="仿宋_GB2312"/>
      <w:b/>
      <w:kern w:val="2"/>
      <w:sz w:val="24"/>
      <w:lang w:val="en-US" w:eastAsia="zh-CN" w:bidi="ar-SA"/>
    </w:rPr>
  </w:style>
  <w:style w:type="character" w:customStyle="1" w:styleId="89">
    <w:name w:val="批注文字 Char3"/>
    <w:link w:val="12"/>
    <w:qFormat/>
    <w:uiPriority w:val="0"/>
    <w:rPr>
      <w:rFonts w:eastAsia="宋体"/>
      <w:kern w:val="2"/>
      <w:sz w:val="21"/>
      <w:lang w:val="en-US" w:eastAsia="zh-CN" w:bidi="ar-SA"/>
    </w:rPr>
  </w:style>
  <w:style w:type="character" w:customStyle="1" w:styleId="90">
    <w:name w:val="纯文本 Char"/>
    <w:link w:val="33"/>
    <w:qFormat/>
    <w:locked/>
    <w:uiPriority w:val="0"/>
    <w:rPr>
      <w:rFonts w:ascii="宋体" w:hAnsi="Courier New" w:eastAsia="宋体"/>
      <w:kern w:val="2"/>
      <w:sz w:val="21"/>
      <w:lang w:val="en-US" w:eastAsia="zh-CN" w:bidi="ar-SA"/>
    </w:rPr>
  </w:style>
  <w:style w:type="character" w:customStyle="1" w:styleId="91">
    <w:name w:val="正文文本缩进 2 Char1"/>
    <w:link w:val="37"/>
    <w:qFormat/>
    <w:uiPriority w:val="0"/>
    <w:rPr>
      <w:rFonts w:ascii="Arial" w:hAnsi="Arial" w:eastAsia="仿宋_GB2312"/>
      <w:kern w:val="2"/>
      <w:sz w:val="32"/>
      <w:lang w:val="en-US" w:eastAsia="zh-CN" w:bidi="ar-SA"/>
    </w:rPr>
  </w:style>
  <w:style w:type="character" w:customStyle="1" w:styleId="92">
    <w:name w:val="标题 Char3"/>
    <w:link w:val="57"/>
    <w:qFormat/>
    <w:uiPriority w:val="0"/>
    <w:rPr>
      <w:rFonts w:ascii="黑体" w:hAnsi="Arial" w:eastAsia="黑体" w:cs="Arial"/>
      <w:bCs/>
      <w:kern w:val="2"/>
      <w:sz w:val="32"/>
      <w:szCs w:val="32"/>
      <w:lang w:val="en-US" w:eastAsia="zh-CN" w:bidi="ar-SA"/>
    </w:rPr>
  </w:style>
  <w:style w:type="character" w:customStyle="1" w:styleId="93">
    <w:name w:val="标题 7 Char1"/>
    <w:link w:val="8"/>
    <w:qFormat/>
    <w:uiPriority w:val="0"/>
    <w:rPr>
      <w:rFonts w:ascii="Arial" w:hAnsi="Arial" w:eastAsia="仿宋_GB2312" w:cs="Arial"/>
      <w:b/>
      <w:bCs/>
      <w:spacing w:val="-4"/>
      <w:kern w:val="2"/>
      <w:sz w:val="24"/>
      <w:szCs w:val="24"/>
      <w:lang w:val="en-US" w:eastAsia="zh-CN" w:bidi="ar-SA"/>
    </w:rPr>
  </w:style>
  <w:style w:type="character" w:customStyle="1" w:styleId="94">
    <w:name w:val="正文文本缩进 3 Char1"/>
    <w:link w:val="48"/>
    <w:qFormat/>
    <w:uiPriority w:val="0"/>
    <w:rPr>
      <w:rFonts w:ascii="仿宋_GB2312" w:hAnsi="Arial" w:eastAsia="仿宋_GB2312"/>
      <w:color w:val="000000"/>
      <w:kern w:val="2"/>
      <w:sz w:val="30"/>
      <w:lang w:val="en-US" w:eastAsia="zh-CN" w:bidi="ar-SA"/>
    </w:rPr>
  </w:style>
  <w:style w:type="character" w:customStyle="1" w:styleId="95">
    <w:name w:val="末级 Char Char"/>
    <w:link w:val="96"/>
    <w:qFormat/>
    <w:locked/>
    <w:uiPriority w:val="0"/>
    <w:rPr>
      <w:sz w:val="24"/>
      <w:szCs w:val="24"/>
      <w:lang w:bidi="ar-SA"/>
    </w:rPr>
  </w:style>
  <w:style w:type="paragraph" w:customStyle="1" w:styleId="96">
    <w:name w:val="末级"/>
    <w:basedOn w:val="1"/>
    <w:link w:val="95"/>
    <w:qFormat/>
    <w:uiPriority w:val="0"/>
    <w:pPr>
      <w:tabs>
        <w:tab w:val="left" w:pos="964"/>
        <w:tab w:val="left" w:pos="2502"/>
      </w:tabs>
      <w:spacing w:line="360" w:lineRule="auto"/>
      <w:ind w:left="2502" w:hanging="432"/>
    </w:pPr>
    <w:rPr>
      <w:kern w:val="0"/>
      <w:sz w:val="24"/>
      <w:szCs w:val="24"/>
    </w:rPr>
  </w:style>
  <w:style w:type="character" w:customStyle="1" w:styleId="97">
    <w:name w:val="标题 Char1"/>
    <w:qFormat/>
    <w:uiPriority w:val="0"/>
    <w:rPr>
      <w:rFonts w:hint="default" w:ascii="Cambria" w:hAnsi="Cambria" w:cs="Times New Roman"/>
      <w:b/>
      <w:bCs/>
      <w:kern w:val="2"/>
      <w:sz w:val="32"/>
      <w:szCs w:val="32"/>
    </w:rPr>
  </w:style>
  <w:style w:type="character" w:customStyle="1" w:styleId="98">
    <w:name w:val="标题 3 Char1"/>
    <w:link w:val="4"/>
    <w:qFormat/>
    <w:uiPriority w:val="0"/>
    <w:rPr>
      <w:rFonts w:ascii="宋体" w:eastAsia="宋体"/>
      <w:b/>
      <w:bCs/>
      <w:kern w:val="2"/>
      <w:sz w:val="32"/>
      <w:szCs w:val="32"/>
      <w:lang w:val="en-US" w:eastAsia="zh-CN" w:bidi="ar-SA"/>
    </w:rPr>
  </w:style>
  <w:style w:type="character" w:customStyle="1" w:styleId="99">
    <w:name w:val="正文文本 3 Char1"/>
    <w:link w:val="24"/>
    <w:qFormat/>
    <w:uiPriority w:val="0"/>
    <w:rPr>
      <w:rFonts w:ascii="黑体" w:hAnsi="Arial" w:eastAsia="黑体"/>
      <w:b/>
      <w:kern w:val="2"/>
      <w:sz w:val="28"/>
      <w:lang w:val="en-US" w:eastAsia="zh-CN" w:bidi="ar-SA"/>
    </w:rPr>
  </w:style>
  <w:style w:type="character" w:customStyle="1" w:styleId="100">
    <w:name w:val="标题 9 Char1"/>
    <w:link w:val="10"/>
    <w:qFormat/>
    <w:uiPriority w:val="0"/>
    <w:rPr>
      <w:rFonts w:eastAsia="宋体"/>
      <w:sz w:val="24"/>
      <w:lang w:val="en-US" w:eastAsia="zh-CN" w:bidi="ar-SA"/>
    </w:rPr>
  </w:style>
  <w:style w:type="character" w:customStyle="1" w:styleId="101">
    <w:name w:val="正文文本 Char1"/>
    <w:qFormat/>
    <w:uiPriority w:val="0"/>
    <w:rPr>
      <w:kern w:val="2"/>
      <w:sz w:val="21"/>
      <w:szCs w:val="24"/>
    </w:rPr>
  </w:style>
  <w:style w:type="character" w:customStyle="1" w:styleId="102">
    <w:name w:val="正文段落 m14 Char Char"/>
    <w:link w:val="103"/>
    <w:qFormat/>
    <w:locked/>
    <w:uiPriority w:val="0"/>
    <w:rPr>
      <w:rFonts w:eastAsia="Times New Roman"/>
      <w:sz w:val="24"/>
      <w:lang w:val="en-US" w:eastAsia="zh-CN" w:bidi="ar-SA"/>
    </w:rPr>
  </w:style>
  <w:style w:type="paragraph" w:customStyle="1" w:styleId="103">
    <w:name w:val="正文段落 m14"/>
    <w:link w:val="102"/>
    <w:qFormat/>
    <w:uiPriority w:val="0"/>
    <w:pPr>
      <w:adjustRightInd w:val="0"/>
      <w:snapToGrid w:val="0"/>
      <w:spacing w:beforeLines="50" w:line="360" w:lineRule="auto"/>
      <w:ind w:firstLine="480" w:firstLineChars="200"/>
    </w:pPr>
    <w:rPr>
      <w:rFonts w:ascii="Times New Roman" w:hAnsi="Times New Roman" w:eastAsia="Times New Roman" w:cs="Times New Roman"/>
      <w:sz w:val="24"/>
      <w:lang w:val="en-US" w:eastAsia="zh-CN" w:bidi="ar-SA"/>
    </w:rPr>
  </w:style>
  <w:style w:type="character" w:customStyle="1" w:styleId="104">
    <w:name w:val="正文文本 Char3"/>
    <w:link w:val="26"/>
    <w:qFormat/>
    <w:uiPriority w:val="0"/>
    <w:rPr>
      <w:rFonts w:ascii="宋体" w:hAnsi="Arial" w:eastAsia="宋体"/>
      <w:kern w:val="2"/>
      <w:sz w:val="28"/>
      <w:lang w:val="en-US" w:eastAsia="zh-CN" w:bidi="ar-SA"/>
    </w:rPr>
  </w:style>
  <w:style w:type="character" w:customStyle="1" w:styleId="105">
    <w:name w:val="页眉 Char1"/>
    <w:link w:val="40"/>
    <w:qFormat/>
    <w:uiPriority w:val="99"/>
    <w:rPr>
      <w:rFonts w:eastAsia="宋体"/>
      <w:kern w:val="2"/>
      <w:sz w:val="18"/>
      <w:szCs w:val="18"/>
      <w:lang w:val="en-US" w:eastAsia="zh-CN" w:bidi="ar-SA"/>
    </w:rPr>
  </w:style>
  <w:style w:type="character" w:customStyle="1" w:styleId="106">
    <w:name w:val="批注主题 Char1"/>
    <w:link w:val="11"/>
    <w:qFormat/>
    <w:uiPriority w:val="0"/>
    <w:rPr>
      <w:rFonts w:eastAsia="宋体"/>
      <w:b/>
      <w:bCs/>
      <w:sz w:val="24"/>
      <w:lang w:val="en-US" w:eastAsia="zh-CN" w:bidi="ar-SA"/>
    </w:rPr>
  </w:style>
  <w:style w:type="character" w:customStyle="1" w:styleId="107">
    <w:name w:val="文档结构图 Char1"/>
    <w:link w:val="21"/>
    <w:qFormat/>
    <w:uiPriority w:val="0"/>
    <w:rPr>
      <w:rFonts w:eastAsia="宋体"/>
      <w:kern w:val="2"/>
      <w:sz w:val="21"/>
      <w:lang w:val="en-US" w:eastAsia="zh-CN" w:bidi="ar-SA"/>
    </w:rPr>
  </w:style>
  <w:style w:type="character" w:customStyle="1" w:styleId="108">
    <w:name w:val="正文文本缩进 Char2"/>
    <w:link w:val="27"/>
    <w:qFormat/>
    <w:uiPriority w:val="0"/>
    <w:rPr>
      <w:rFonts w:ascii="楷体_GB2312" w:eastAsia="楷体_GB2312"/>
      <w:kern w:val="2"/>
      <w:sz w:val="32"/>
      <w:lang w:val="en-US" w:eastAsia="zh-CN" w:bidi="ar-SA"/>
    </w:rPr>
  </w:style>
  <w:style w:type="character" w:customStyle="1" w:styleId="109">
    <w:name w:val="Char Char1"/>
    <w:qFormat/>
    <w:uiPriority w:val="0"/>
    <w:rPr>
      <w:rFonts w:hint="eastAsia" w:ascii="宋体" w:hAnsi="宋体" w:eastAsia="宋体"/>
      <w:sz w:val="24"/>
      <w:u w:val="single"/>
      <w:lang w:val="en-US" w:eastAsia="zh-CN" w:bidi="ar-SA"/>
    </w:rPr>
  </w:style>
  <w:style w:type="character" w:customStyle="1" w:styleId="110">
    <w:name w:val="Char2"/>
    <w:qFormat/>
    <w:uiPriority w:val="0"/>
    <w:rPr>
      <w:rFonts w:hint="eastAsia" w:ascii="黑体" w:hAnsi="Arial" w:eastAsia="黑体" w:cs="Arial"/>
      <w:bCs/>
      <w:kern w:val="2"/>
      <w:sz w:val="32"/>
      <w:szCs w:val="32"/>
      <w:lang w:val="en-US" w:eastAsia="zh-CN" w:bidi="ar-SA"/>
    </w:rPr>
  </w:style>
  <w:style w:type="character" w:customStyle="1" w:styleId="111">
    <w:name w:val="正文首行缩进 Char1"/>
    <w:link w:val="14"/>
    <w:qFormat/>
    <w:uiPriority w:val="0"/>
    <w:rPr>
      <w:rFonts w:ascii="Arial" w:hAnsi="Arial" w:eastAsia="仿宋_GB2312" w:cs="Arial"/>
      <w:sz w:val="24"/>
      <w:szCs w:val="32"/>
      <w:lang w:val="en-US" w:eastAsia="zh-CN" w:bidi="ar-SA"/>
    </w:rPr>
  </w:style>
  <w:style w:type="paragraph" w:customStyle="1" w:styleId="112">
    <w:name w:val="列出段落1"/>
    <w:basedOn w:val="1"/>
    <w:qFormat/>
    <w:uiPriority w:val="34"/>
    <w:pPr>
      <w:adjustRightInd w:val="0"/>
      <w:spacing w:line="360" w:lineRule="atLeast"/>
      <w:ind w:firstLine="420" w:firstLineChars="200"/>
      <w:jc w:val="left"/>
    </w:pPr>
    <w:rPr>
      <w:kern w:val="0"/>
      <w:sz w:val="24"/>
    </w:rPr>
  </w:style>
  <w:style w:type="paragraph" w:customStyle="1" w:styleId="113">
    <w:name w:val="样式8"/>
    <w:basedOn w:val="114"/>
    <w:qFormat/>
    <w:uiPriority w:val="0"/>
    <w:pPr>
      <w:keepNext/>
      <w:keepLines/>
      <w:tabs>
        <w:tab w:val="left" w:pos="709"/>
      </w:tabs>
      <w:spacing w:beforeLines="100"/>
      <w:ind w:left="0" w:firstLine="0"/>
      <w:jc w:val="center"/>
      <w:textAlignment w:val="auto"/>
      <w:outlineLvl w:val="1"/>
    </w:pPr>
    <w:rPr>
      <w:rFonts w:ascii="黑体" w:hAnsi="Times New Roman" w:eastAsia="黑体"/>
      <w:sz w:val="36"/>
      <w:szCs w:val="36"/>
    </w:rPr>
  </w:style>
  <w:style w:type="paragraph" w:customStyle="1" w:styleId="114">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115">
    <w:name w:val="一级标题"/>
    <w:basedOn w:val="1"/>
    <w:next w:val="116"/>
    <w:qFormat/>
    <w:uiPriority w:val="0"/>
    <w:pPr>
      <w:tabs>
        <w:tab w:val="left" w:pos="425"/>
        <w:tab w:val="left" w:pos="1418"/>
      </w:tabs>
      <w:spacing w:afterLines="100"/>
      <w:ind w:left="850" w:hanging="425"/>
      <w:outlineLvl w:val="0"/>
    </w:pPr>
    <w:rPr>
      <w:rFonts w:ascii="黑体" w:eastAsia="黑体"/>
      <w:sz w:val="30"/>
      <w:szCs w:val="28"/>
    </w:rPr>
  </w:style>
  <w:style w:type="paragraph" w:customStyle="1" w:styleId="116">
    <w:name w:val="二级标题"/>
    <w:basedOn w:val="1"/>
    <w:next w:val="117"/>
    <w:qFormat/>
    <w:uiPriority w:val="0"/>
    <w:pPr>
      <w:tabs>
        <w:tab w:val="left" w:pos="992"/>
      </w:tabs>
      <w:ind w:left="992" w:hanging="567"/>
      <w:outlineLvl w:val="1"/>
    </w:pPr>
    <w:rPr>
      <w:rFonts w:ascii="黑体" w:eastAsia="黑体"/>
      <w:sz w:val="28"/>
      <w:szCs w:val="24"/>
    </w:rPr>
  </w:style>
  <w:style w:type="paragraph" w:customStyle="1" w:styleId="117">
    <w:name w:val="文章正文"/>
    <w:basedOn w:val="1"/>
    <w:qFormat/>
    <w:uiPriority w:val="0"/>
    <w:pPr>
      <w:tabs>
        <w:tab w:val="left" w:pos="992"/>
      </w:tabs>
      <w:spacing w:beforeLines="50" w:afterLines="50" w:line="320" w:lineRule="exact"/>
      <w:ind w:firstLine="200" w:firstLineChars="200"/>
    </w:pPr>
    <w:rPr>
      <w:rFonts w:ascii="仿宋_GB2312" w:eastAsia="仿宋_GB2312"/>
      <w:sz w:val="28"/>
      <w:szCs w:val="24"/>
    </w:rPr>
  </w:style>
  <w:style w:type="paragraph" w:customStyle="1" w:styleId="118">
    <w:name w:val="通用"/>
    <w:basedOn w:val="1"/>
    <w:qFormat/>
    <w:uiPriority w:val="0"/>
    <w:pPr>
      <w:spacing w:line="360" w:lineRule="auto"/>
      <w:ind w:left="42"/>
    </w:pPr>
    <w:rPr>
      <w:rFonts w:ascii="宋体"/>
      <w:b/>
      <w:sz w:val="24"/>
    </w:rPr>
  </w:style>
  <w:style w:type="paragraph" w:customStyle="1" w:styleId="119">
    <w:name w:val="SUR-需求定义-第4级"/>
    <w:basedOn w:val="5"/>
    <w:next w:val="1"/>
    <w:qFormat/>
    <w:uiPriority w:val="0"/>
    <w:pPr>
      <w:tabs>
        <w:tab w:val="left" w:pos="1080"/>
      </w:tabs>
      <w:spacing w:before="0" w:after="0"/>
      <w:ind w:left="-283" w:firstLine="283"/>
      <w:jc w:val="left"/>
    </w:pPr>
    <w:rPr>
      <w:rFonts w:cs="Arial"/>
      <w:b w:val="0"/>
      <w:color w:val="0000FF"/>
      <w:sz w:val="24"/>
      <w:szCs w:val="24"/>
    </w:rPr>
  </w:style>
  <w:style w:type="paragraph" w:customStyle="1" w:styleId="120">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121">
    <w:name w:val="TOC 标题1"/>
    <w:basedOn w:val="2"/>
    <w:next w:val="1"/>
    <w:qFormat/>
    <w:uiPriority w:val="0"/>
    <w:pPr>
      <w:adjustRightInd w:val="0"/>
      <w:snapToGrid w:val="0"/>
      <w:spacing w:before="0" w:afterLines="50" w:line="360" w:lineRule="auto"/>
      <w:jc w:val="left"/>
      <w:outlineLvl w:val="9"/>
    </w:pPr>
    <w:rPr>
      <w:sz w:val="28"/>
      <w:lang w:eastAsia="en-US" w:bidi="en-US"/>
    </w:rPr>
  </w:style>
  <w:style w:type="paragraph" w:customStyle="1" w:styleId="122">
    <w:name w:val="Char3 Char Char Char"/>
    <w:basedOn w:val="1"/>
    <w:qFormat/>
    <w:uiPriority w:val="0"/>
    <w:rPr>
      <w:rFonts w:ascii="仿宋_GB2312" w:eastAsia="仿宋_GB2312"/>
      <w:b/>
      <w:sz w:val="32"/>
      <w:szCs w:val="32"/>
    </w:rPr>
  </w:style>
  <w:style w:type="paragraph" w:customStyle="1" w:styleId="123">
    <w:name w:val="p0"/>
    <w:basedOn w:val="1"/>
    <w:qFormat/>
    <w:uiPriority w:val="0"/>
    <w:pPr>
      <w:widowControl/>
    </w:pPr>
    <w:rPr>
      <w:kern w:val="0"/>
      <w:szCs w:val="21"/>
    </w:rPr>
  </w:style>
  <w:style w:type="paragraph" w:customStyle="1" w:styleId="124">
    <w:name w:val="格式2"/>
    <w:basedOn w:val="3"/>
    <w:qFormat/>
    <w:uiPriority w:val="0"/>
    <w:pPr>
      <w:autoSpaceDE w:val="0"/>
      <w:autoSpaceDN w:val="0"/>
      <w:adjustRightInd w:val="0"/>
      <w:spacing w:line="416" w:lineRule="atLeast"/>
      <w:ind w:firstLine="0"/>
      <w:jc w:val="both"/>
    </w:pPr>
    <w:rPr>
      <w:rFonts w:ascii="黑体" w:hAnsi="Times New Roman"/>
      <w:b w:val="0"/>
      <w:kern w:val="0"/>
      <w:sz w:val="30"/>
      <w:szCs w:val="20"/>
    </w:rPr>
  </w:style>
  <w:style w:type="paragraph" w:customStyle="1" w:styleId="125">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126">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7">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128">
    <w:name w:val="p15"/>
    <w:basedOn w:val="1"/>
    <w:qFormat/>
    <w:uiPriority w:val="0"/>
    <w:pPr>
      <w:widowControl/>
      <w:jc w:val="center"/>
    </w:pPr>
    <w:rPr>
      <w:rFonts w:ascii="仿宋_GB2312" w:hAnsi="宋体" w:eastAsia="仿宋_GB2312" w:cs="宋体"/>
      <w:b/>
      <w:bCs/>
      <w:kern w:val="0"/>
      <w:sz w:val="28"/>
      <w:szCs w:val="28"/>
    </w:rPr>
  </w:style>
  <w:style w:type="paragraph" w:customStyle="1" w:styleId="129">
    <w:name w:val="_Style 1"/>
    <w:basedOn w:val="1"/>
    <w:qFormat/>
    <w:uiPriority w:val="34"/>
    <w:pPr>
      <w:ind w:firstLine="420" w:firstLineChars="200"/>
    </w:pPr>
  </w:style>
  <w:style w:type="paragraph" w:customStyle="1" w:styleId="130">
    <w:name w:val="Char1"/>
    <w:basedOn w:val="1"/>
    <w:qFormat/>
    <w:uiPriority w:val="0"/>
    <w:rPr>
      <w:szCs w:val="24"/>
    </w:rPr>
  </w:style>
  <w:style w:type="paragraph" w:customStyle="1" w:styleId="131">
    <w:name w:val="_Style 2"/>
    <w:basedOn w:val="1"/>
    <w:qFormat/>
    <w:uiPriority w:val="0"/>
    <w:pPr>
      <w:widowControl/>
      <w:ind w:firstLine="420" w:firstLineChars="200"/>
      <w:jc w:val="left"/>
    </w:pPr>
    <w:rPr>
      <w:rFonts w:ascii="宋体" w:hAnsi="宋体" w:cs="宋体"/>
      <w:color w:val="000000"/>
      <w:kern w:val="0"/>
      <w:sz w:val="24"/>
    </w:rPr>
  </w:style>
  <w:style w:type="paragraph" w:customStyle="1" w:styleId="132">
    <w:name w:val="Char Char Char Char Char"/>
    <w:basedOn w:val="1"/>
    <w:qFormat/>
    <w:uiPriority w:val="0"/>
    <w:pPr>
      <w:ind w:firstLine="360" w:firstLineChars="150"/>
    </w:pPr>
  </w:style>
  <w:style w:type="paragraph" w:customStyle="1" w:styleId="133">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34">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135">
    <w:name w:val="flName"/>
    <w:basedOn w:val="136"/>
    <w:qFormat/>
    <w:uiPriority w:val="0"/>
    <w:pPr>
      <w:spacing w:before="0" w:line="113" w:lineRule="atLeast"/>
    </w:pPr>
  </w:style>
  <w:style w:type="paragraph" w:customStyle="1" w:styleId="136">
    <w:name w:val="flNote"/>
    <w:basedOn w:val="1"/>
    <w:qFormat/>
    <w:uiPriority w:val="0"/>
    <w:pPr>
      <w:adjustRightInd w:val="0"/>
      <w:spacing w:before="567" w:line="360" w:lineRule="atLeast"/>
      <w:jc w:val="center"/>
    </w:pPr>
    <w:rPr>
      <w:rFonts w:eastAsia="黑体"/>
      <w:b/>
      <w:kern w:val="0"/>
      <w:sz w:val="24"/>
    </w:rPr>
  </w:style>
  <w:style w:type="paragraph" w:customStyle="1" w:styleId="137">
    <w:name w:val="flType"/>
    <w:basedOn w:val="135"/>
    <w:qFormat/>
    <w:uiPriority w:val="0"/>
    <w:pPr>
      <w:spacing w:after="284"/>
    </w:pPr>
    <w:rPr>
      <w:rFonts w:eastAsia="宋体"/>
      <w:b w:val="0"/>
    </w:rPr>
  </w:style>
  <w:style w:type="paragraph" w:customStyle="1" w:styleId="138">
    <w:name w:val="_Style 49"/>
    <w:basedOn w:val="1"/>
    <w:qFormat/>
    <w:uiPriority w:val="0"/>
    <w:pPr>
      <w:spacing w:beforeLines="50" w:afterLines="50"/>
    </w:pPr>
    <w:rPr>
      <w:szCs w:val="24"/>
    </w:rPr>
  </w:style>
  <w:style w:type="paragraph" w:customStyle="1" w:styleId="1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140">
    <w:name w:val="D&amp;L"/>
    <w:basedOn w:val="40"/>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1">
    <w:name w:val="样式 标题 3标题 3 Char Char标题 3 Char Char Char Char + 黑体 段前: 12 磅 ..."/>
    <w:basedOn w:val="4"/>
    <w:qFormat/>
    <w:uiPriority w:val="0"/>
    <w:pPr>
      <w:spacing w:before="240" w:after="120" w:line="240" w:lineRule="auto"/>
      <w:jc w:val="left"/>
    </w:pPr>
    <w:rPr>
      <w:rFonts w:ascii="黑体" w:hAnsi="Arial" w:eastAsia="黑体" w:cs="宋体"/>
      <w:b w:val="0"/>
      <w:kern w:val="0"/>
      <w:sz w:val="28"/>
      <w:szCs w:val="20"/>
    </w:rPr>
  </w:style>
  <w:style w:type="paragraph" w:customStyle="1" w:styleId="14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43">
    <w:name w:val="样式3"/>
    <w:basedOn w:val="1"/>
    <w:qFormat/>
    <w:uiPriority w:val="0"/>
    <w:pPr>
      <w:tabs>
        <w:tab w:val="left" w:pos="1180"/>
      </w:tabs>
      <w:autoSpaceDE w:val="0"/>
      <w:autoSpaceDN w:val="0"/>
      <w:adjustRightInd w:val="0"/>
      <w:ind w:left="491" w:leftChars="-24" w:hanging="515" w:hangingChars="515"/>
      <w:jc w:val="left"/>
    </w:pPr>
    <w:rPr>
      <w:color w:val="000000"/>
      <w:kern w:val="0"/>
      <w:sz w:val="24"/>
    </w:rPr>
  </w:style>
  <w:style w:type="paragraph" w:customStyle="1" w:styleId="144">
    <w:name w:val="Char Char Char Char"/>
    <w:basedOn w:val="1"/>
    <w:qFormat/>
    <w:uiPriority w:val="0"/>
    <w:rPr>
      <w:sz w:val="30"/>
      <w:szCs w:val="24"/>
    </w:rPr>
  </w:style>
  <w:style w:type="paragraph" w:customStyle="1" w:styleId="145">
    <w:name w:val="_Style 3"/>
    <w:basedOn w:val="1"/>
    <w:qFormat/>
    <w:uiPriority w:val="34"/>
    <w:pPr>
      <w:ind w:firstLine="420" w:firstLineChars="200"/>
    </w:pPr>
    <w:rPr>
      <w:rFonts w:ascii="Calibri" w:hAnsi="Calibri"/>
      <w:szCs w:val="22"/>
    </w:rPr>
  </w:style>
  <w:style w:type="paragraph" w:customStyle="1" w:styleId="146">
    <w:name w:val="样式4"/>
    <w:basedOn w:val="57"/>
    <w:qFormat/>
    <w:uiPriority w:val="0"/>
    <w:pPr>
      <w:tabs>
        <w:tab w:val="clear" w:pos="425"/>
      </w:tabs>
      <w:spacing w:line="360" w:lineRule="auto"/>
      <w:ind w:left="0" w:firstLine="0"/>
    </w:pPr>
    <w:rPr>
      <w:sz w:val="36"/>
      <w:szCs w:val="36"/>
    </w:rPr>
  </w:style>
  <w:style w:type="paragraph" w:customStyle="1" w:styleId="147">
    <w:name w:val="kd"/>
    <w:basedOn w:val="148"/>
    <w:qFormat/>
    <w:uiPriority w:val="0"/>
    <w:pPr>
      <w:ind w:left="720" w:hanging="720"/>
    </w:pPr>
    <w:rPr>
      <w:sz w:val="28"/>
    </w:rPr>
  </w:style>
  <w:style w:type="paragraph" w:customStyle="1" w:styleId="148">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49">
    <w:name w:val="Char Char Char1 Char Char Char"/>
    <w:basedOn w:val="1"/>
    <w:qFormat/>
    <w:uiPriority w:val="0"/>
  </w:style>
  <w:style w:type="paragraph" w:customStyle="1" w:styleId="150">
    <w:name w:val="样式 宋体 小四 首行缩进:  0.93 厘米 段前: 11.15 磅 段后: 11.15 磅1"/>
    <w:basedOn w:val="1"/>
    <w:qFormat/>
    <w:uiPriority w:val="0"/>
    <w:pPr>
      <w:adjustRightInd w:val="0"/>
      <w:snapToGrid w:val="0"/>
      <w:ind w:left="200" w:leftChars="200"/>
    </w:pPr>
    <w:rPr>
      <w:rFonts w:ascii="宋体" w:cs="宋体"/>
      <w:sz w:val="24"/>
    </w:rPr>
  </w:style>
  <w:style w:type="paragraph" w:customStyle="1" w:styleId="151">
    <w:name w:val="样式 样式 样式 标题 3 + 四号 段前: 0 磅 段后: 0 磅 行距: 固定值 24 磅 + Times New Roma..."/>
    <w:basedOn w:val="1"/>
    <w:qFormat/>
    <w:uiPriority w:val="0"/>
    <w:pPr>
      <w:autoSpaceDE w:val="0"/>
      <w:autoSpaceDN w:val="0"/>
      <w:adjustRightInd w:val="0"/>
      <w:spacing w:line="480" w:lineRule="exact"/>
      <w:ind w:firstLine="200" w:firstLineChars="200"/>
    </w:pPr>
    <w:rPr>
      <w:rFonts w:cs="宋体"/>
      <w:color w:val="000000"/>
      <w:sz w:val="28"/>
    </w:rPr>
  </w:style>
  <w:style w:type="paragraph" w:customStyle="1" w:styleId="152">
    <w:name w:val="默认段落字体 Para Char"/>
    <w:basedOn w:val="1"/>
    <w:next w:val="1"/>
    <w:qFormat/>
    <w:uiPriority w:val="0"/>
    <w:rPr>
      <w:szCs w:val="24"/>
    </w:rPr>
  </w:style>
  <w:style w:type="paragraph" w:customStyle="1" w:styleId="153">
    <w:name w:val="Char1 Char Char Char Char Char Char2 Char Char Char Char Char Char Char"/>
    <w:basedOn w:val="1"/>
    <w:qFormat/>
    <w:uiPriority w:val="0"/>
    <w:pPr>
      <w:ind w:firstLine="360" w:firstLineChars="150"/>
    </w:pPr>
    <w:rPr>
      <w:rFonts w:ascii="Tahoma" w:hAnsi="Tahoma"/>
      <w:sz w:val="24"/>
    </w:rPr>
  </w:style>
  <w:style w:type="paragraph" w:customStyle="1" w:styleId="154">
    <w:name w:val="专用"/>
    <w:basedOn w:val="1"/>
    <w:qFormat/>
    <w:uiPriority w:val="0"/>
    <w:pPr>
      <w:spacing w:afterLines="100"/>
      <w:ind w:left="838" w:hanging="838" w:hangingChars="262"/>
    </w:pPr>
    <w:rPr>
      <w:rFonts w:ascii="宋体"/>
      <w:b/>
      <w:color w:val="000000"/>
      <w:sz w:val="32"/>
    </w:rPr>
  </w:style>
  <w:style w:type="paragraph" w:styleId="155">
    <w:name w:val="List Paragraph"/>
    <w:basedOn w:val="1"/>
    <w:link w:val="263"/>
    <w:qFormat/>
    <w:uiPriority w:val="34"/>
    <w:pPr>
      <w:ind w:firstLine="420" w:firstLineChars="200"/>
    </w:pPr>
    <w:rPr>
      <w:rFonts w:ascii="Calibri" w:hAnsi="Calibri"/>
      <w:szCs w:val="22"/>
    </w:rPr>
  </w:style>
  <w:style w:type="paragraph" w:customStyle="1" w:styleId="156">
    <w:name w:val="样式9"/>
    <w:basedOn w:val="143"/>
    <w:qFormat/>
    <w:uiPriority w:val="0"/>
    <w:pPr>
      <w:tabs>
        <w:tab w:val="clear" w:pos="1180"/>
      </w:tabs>
      <w:autoSpaceDE/>
      <w:autoSpaceDN/>
      <w:spacing w:line="480" w:lineRule="exact"/>
      <w:ind w:left="0" w:leftChars="0" w:firstLine="480" w:firstLineChars="200"/>
    </w:pPr>
    <w:rPr>
      <w:rFonts w:ascii="宋体" w:hAnsi="宋体"/>
      <w:color w:val="auto"/>
      <w:szCs w:val="24"/>
    </w:rPr>
  </w:style>
  <w:style w:type="paragraph" w:customStyle="1" w:styleId="15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58">
    <w:name w:val="_Style 0"/>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9">
    <w:name w:val="表格"/>
    <w:basedOn w:val="1"/>
    <w:qFormat/>
    <w:uiPriority w:val="0"/>
    <w:pPr>
      <w:widowControl/>
      <w:snapToGrid w:val="0"/>
      <w:spacing w:before="60" w:after="60"/>
      <w:jc w:val="left"/>
    </w:pPr>
    <w:rPr>
      <w:rFonts w:ascii="宋体"/>
      <w:sz w:val="20"/>
    </w:rPr>
  </w:style>
  <w:style w:type="paragraph" w:customStyle="1" w:styleId="160">
    <w:name w:val="样式12"/>
    <w:basedOn w:val="1"/>
    <w:qFormat/>
    <w:uiPriority w:val="0"/>
    <w:pPr>
      <w:adjustRightInd w:val="0"/>
      <w:spacing w:line="480" w:lineRule="exact"/>
      <w:ind w:left="600" w:leftChars="250" w:firstLine="480" w:firstLineChars="200"/>
      <w:jc w:val="left"/>
    </w:pPr>
    <w:rPr>
      <w:rFonts w:ascii="宋体" w:hAnsi="宋体"/>
      <w:kern w:val="0"/>
      <w:sz w:val="24"/>
      <w:szCs w:val="24"/>
    </w:rPr>
  </w:style>
  <w:style w:type="paragraph" w:customStyle="1" w:styleId="161">
    <w:name w:val="样式 标题 3列表编号31.1.1 + 四号 加粗 行距: 1.5 倍行距"/>
    <w:basedOn w:val="4"/>
    <w:qFormat/>
    <w:uiPriority w:val="0"/>
    <w:pPr>
      <w:tabs>
        <w:tab w:val="left" w:pos="0"/>
      </w:tabs>
      <w:adjustRightInd w:val="0"/>
      <w:spacing w:before="0" w:after="0" w:line="360" w:lineRule="auto"/>
      <w:jc w:val="left"/>
    </w:pPr>
    <w:rPr>
      <w:rFonts w:ascii="Times New Roman" w:cs="宋体"/>
      <w:kern w:val="0"/>
      <w:sz w:val="28"/>
      <w:szCs w:val="20"/>
    </w:rPr>
  </w:style>
  <w:style w:type="paragraph" w:customStyle="1" w:styleId="16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1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4">
    <w:name w:val="Char Char Char Char Char Char"/>
    <w:basedOn w:val="1"/>
    <w:qFormat/>
    <w:uiPriority w:val="0"/>
    <w:pPr>
      <w:widowControl/>
      <w:spacing w:after="160" w:line="240" w:lineRule="exact"/>
      <w:jc w:val="left"/>
    </w:pPr>
    <w:rPr>
      <w:kern w:val="0"/>
      <w:sz w:val="24"/>
    </w:rPr>
  </w:style>
  <w:style w:type="paragraph" w:customStyle="1" w:styleId="165">
    <w:name w:val="样式2"/>
    <w:basedOn w:val="18"/>
    <w:qFormat/>
    <w:uiPriority w:val="0"/>
    <w:pPr>
      <w:adjustRightInd w:val="0"/>
      <w:spacing w:after="0" w:line="360" w:lineRule="auto"/>
      <w:ind w:left="491" w:leftChars="491" w:firstLine="0"/>
      <w:jc w:val="left"/>
    </w:pPr>
    <w:rPr>
      <w:rFonts w:ascii="Times New Roman" w:hAnsi="Times New Roman" w:cs="Times New Roman"/>
      <w:kern w:val="0"/>
      <w:szCs w:val="20"/>
    </w:rPr>
  </w:style>
  <w:style w:type="paragraph" w:customStyle="1" w:styleId="166">
    <w:name w:val="Char"/>
    <w:basedOn w:val="1"/>
    <w:qFormat/>
    <w:uiPriority w:val="0"/>
    <w:rPr>
      <w:rFonts w:ascii="Tahoma" w:hAnsi="Tahoma"/>
      <w:sz w:val="24"/>
    </w:rPr>
  </w:style>
  <w:style w:type="paragraph" w:customStyle="1" w:styleId="167">
    <w:name w:val="样式 样式 标题 4 + (符号) 宋体 行距: 固定值 22 磅 + 黑色"/>
    <w:basedOn w:val="1"/>
    <w:qFormat/>
    <w:uiPriority w:val="0"/>
    <w:pPr>
      <w:tabs>
        <w:tab w:val="left" w:pos="2400"/>
      </w:tabs>
      <w:adjustRightInd w:val="0"/>
      <w:spacing w:before="50" w:after="50" w:line="440" w:lineRule="exact"/>
      <w:ind w:left="-284" w:hanging="420"/>
      <w:jc w:val="left"/>
      <w:outlineLvl w:val="3"/>
    </w:pPr>
    <w:rPr>
      <w:rFonts w:ascii="宋体" w:hAnsi="宋体" w:cs="宋体"/>
      <w:color w:val="000000"/>
      <w:kern w:val="0"/>
      <w:sz w:val="24"/>
    </w:rPr>
  </w:style>
  <w:style w:type="paragraph" w:customStyle="1" w:styleId="16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169">
    <w:name w:val="五级"/>
    <w:basedOn w:val="3"/>
    <w:qFormat/>
    <w:uiPriority w:val="0"/>
    <w:pPr>
      <w:keepNext w:val="0"/>
      <w:keepLines w:val="0"/>
      <w:tabs>
        <w:tab w:val="left" w:pos="709"/>
        <w:tab w:val="left" w:pos="851"/>
      </w:tabs>
      <w:spacing w:before="0" w:after="0" w:line="360" w:lineRule="auto"/>
      <w:ind w:left="709" w:hanging="709"/>
      <w:jc w:val="both"/>
    </w:pPr>
    <w:rPr>
      <w:rFonts w:ascii="宋体" w:hAnsi="宋体" w:eastAsia="宋体"/>
      <w:b w:val="0"/>
      <w:sz w:val="24"/>
    </w:rPr>
  </w:style>
  <w:style w:type="paragraph" w:customStyle="1" w:styleId="170">
    <w:name w:val="样式胡"/>
    <w:basedOn w:val="1"/>
    <w:qFormat/>
    <w:uiPriority w:val="0"/>
    <w:pPr>
      <w:tabs>
        <w:tab w:val="left" w:pos="3300"/>
      </w:tabs>
      <w:ind w:left="3300" w:hanging="420"/>
    </w:pPr>
    <w:rPr>
      <w:rFonts w:ascii="黑体" w:hAnsi="Arial" w:eastAsia="黑体"/>
      <w:szCs w:val="24"/>
    </w:rPr>
  </w:style>
  <w:style w:type="paragraph" w:customStyle="1" w:styleId="171">
    <w:name w:val="Char Char Char"/>
    <w:basedOn w:val="1"/>
    <w:qFormat/>
    <w:uiPriority w:val="0"/>
    <w:rPr>
      <w:rFonts w:ascii="Tahoma" w:hAnsi="Tahoma"/>
      <w:sz w:val="24"/>
    </w:rPr>
  </w:style>
  <w:style w:type="paragraph" w:customStyle="1" w:styleId="172">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73">
    <w:name w:val="样式18"/>
    <w:basedOn w:val="33"/>
    <w:qFormat/>
    <w:uiPriority w:val="0"/>
    <w:pPr>
      <w:spacing w:line="480" w:lineRule="exact"/>
      <w:ind w:firstLine="480" w:firstLineChars="200"/>
    </w:pPr>
    <w:rPr>
      <w:rFonts w:hAnsi="宋体"/>
      <w:sz w:val="24"/>
      <w:szCs w:val="24"/>
    </w:rPr>
  </w:style>
  <w:style w:type="paragraph" w:customStyle="1" w:styleId="174">
    <w:name w:val="表格文字"/>
    <w:basedOn w:val="1"/>
    <w:qFormat/>
    <w:uiPriority w:val="0"/>
    <w:pPr>
      <w:snapToGrid w:val="0"/>
      <w:ind w:firstLine="200" w:firstLineChars="200"/>
      <w:jc w:val="center"/>
    </w:pPr>
    <w:rPr>
      <w:rFonts w:cs="宋体"/>
    </w:rPr>
  </w:style>
  <w:style w:type="paragraph" w:customStyle="1" w:styleId="175">
    <w:name w:val="standdate"/>
    <w:basedOn w:val="39"/>
    <w:qFormat/>
    <w:uiPriority w:val="0"/>
    <w:pPr>
      <w:pBdr>
        <w:top w:val="single" w:color="auto" w:sz="6" w:space="7"/>
      </w:pBdr>
      <w:adjustRightInd w:val="0"/>
      <w:snapToGrid/>
      <w:spacing w:line="240" w:lineRule="atLeast"/>
      <w:jc w:val="center"/>
    </w:pPr>
    <w:rPr>
      <w:rFonts w:ascii="黑体" w:eastAsia="黑体"/>
      <w:b/>
      <w:spacing w:val="-4"/>
      <w:kern w:val="0"/>
      <w:sz w:val="21"/>
      <w:szCs w:val="20"/>
    </w:rPr>
  </w:style>
  <w:style w:type="paragraph" w:customStyle="1" w:styleId="176">
    <w:name w:val="Char Char18"/>
    <w:basedOn w:val="1"/>
    <w:qFormat/>
    <w:uiPriority w:val="0"/>
    <w:pPr>
      <w:widowControl/>
      <w:spacing w:after="160" w:line="240" w:lineRule="exact"/>
      <w:jc w:val="left"/>
    </w:pPr>
    <w:rPr>
      <w:kern w:val="0"/>
      <w:sz w:val="24"/>
    </w:rPr>
  </w:style>
  <w:style w:type="paragraph" w:customStyle="1" w:styleId="177">
    <w:name w:val="Char Char Char Char Char Char Char"/>
    <w:basedOn w:val="1"/>
    <w:qFormat/>
    <w:uiPriority w:val="0"/>
    <w:pPr>
      <w:widowControl/>
      <w:spacing w:after="160" w:line="240" w:lineRule="exact"/>
      <w:jc w:val="left"/>
    </w:pPr>
    <w:rPr>
      <w:rFonts w:ascii="Tahoma" w:hAnsi="Tahoma" w:cs="Tahoma"/>
      <w:kern w:val="0"/>
      <w:sz w:val="20"/>
      <w:lang w:eastAsia="en-US"/>
    </w:rPr>
  </w:style>
  <w:style w:type="paragraph" w:customStyle="1" w:styleId="178">
    <w:name w:val="_Style 8"/>
    <w:basedOn w:val="1"/>
    <w:qFormat/>
    <w:uiPriority w:val="0"/>
  </w:style>
  <w:style w:type="paragraph" w:customStyle="1" w:styleId="179">
    <w:name w:val="合同书"/>
    <w:basedOn w:val="1"/>
    <w:qFormat/>
    <w:uiPriority w:val="0"/>
    <w:pPr>
      <w:jc w:val="center"/>
    </w:pPr>
    <w:rPr>
      <w:rFonts w:ascii="宋体"/>
      <w:b/>
      <w:sz w:val="36"/>
    </w:rPr>
  </w:style>
  <w:style w:type="paragraph" w:customStyle="1" w:styleId="180">
    <w:name w:val="样式15"/>
    <w:basedOn w:val="1"/>
    <w:qFormat/>
    <w:uiPriority w:val="0"/>
    <w:pPr>
      <w:adjustRightInd w:val="0"/>
      <w:spacing w:beforeLines="20" w:line="360" w:lineRule="auto"/>
      <w:ind w:firstLine="715" w:firstLineChars="298"/>
      <w:jc w:val="left"/>
    </w:pPr>
    <w:rPr>
      <w:rFonts w:ascii="黑体" w:eastAsia="黑体"/>
      <w:kern w:val="0"/>
      <w:sz w:val="24"/>
      <w:szCs w:val="24"/>
    </w:rPr>
  </w:style>
  <w:style w:type="paragraph" w:customStyle="1" w:styleId="181">
    <w:name w:val="Char Char Char Char Char Char Char1 Char"/>
    <w:basedOn w:val="1"/>
    <w:qFormat/>
    <w:uiPriority w:val="0"/>
    <w:rPr>
      <w:rFonts w:ascii="Tahoma" w:hAnsi="Tahoma"/>
      <w:sz w:val="24"/>
    </w:rPr>
  </w:style>
  <w:style w:type="paragraph" w:customStyle="1" w:styleId="182">
    <w:name w:val="表内容"/>
    <w:basedOn w:val="84"/>
    <w:qFormat/>
    <w:uiPriority w:val="0"/>
    <w:pPr>
      <w:spacing w:afterLines="0"/>
      <w:ind w:firstLine="0" w:firstLineChars="0"/>
      <w:jc w:val="center"/>
    </w:pPr>
    <w:rPr>
      <w:sz w:val="21"/>
    </w:rPr>
  </w:style>
  <w:style w:type="paragraph" w:customStyle="1" w:styleId="183">
    <w:name w:val="纯文本1"/>
    <w:basedOn w:val="1"/>
    <w:qFormat/>
    <w:uiPriority w:val="0"/>
    <w:pPr>
      <w:adjustRightInd w:val="0"/>
      <w:spacing w:line="312" w:lineRule="atLeast"/>
    </w:pPr>
    <w:rPr>
      <w:rFonts w:ascii="宋体" w:hAnsi="Courier New"/>
      <w:kern w:val="0"/>
      <w:sz w:val="28"/>
    </w:rPr>
  </w:style>
  <w:style w:type="paragraph" w:customStyle="1" w:styleId="18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5">
    <w:name w:val="Body text 1"/>
    <w:basedOn w:val="126"/>
    <w:qFormat/>
    <w:uiPriority w:val="0"/>
    <w:pPr>
      <w:tabs>
        <w:tab w:val="left" w:pos="1134"/>
      </w:tabs>
      <w:ind w:hanging="1134"/>
    </w:pPr>
  </w:style>
  <w:style w:type="paragraph" w:customStyle="1" w:styleId="186">
    <w:name w:val="基本文字 Char"/>
    <w:basedOn w:val="1"/>
    <w:qFormat/>
    <w:uiPriority w:val="0"/>
    <w:pPr>
      <w:spacing w:before="156" w:line="400" w:lineRule="atLeast"/>
      <w:ind w:firstLine="540" w:firstLineChars="225"/>
    </w:pPr>
    <w:rPr>
      <w:sz w:val="24"/>
    </w:rPr>
  </w:style>
  <w:style w:type="paragraph" w:customStyle="1" w:styleId="18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18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rPr>
  </w:style>
  <w:style w:type="paragraph" w:customStyle="1" w:styleId="190">
    <w:name w:val="条目"/>
    <w:basedOn w:val="57"/>
    <w:next w:val="1"/>
    <w:qFormat/>
    <w:uiPriority w:val="0"/>
    <w:pPr>
      <w:tabs>
        <w:tab w:val="left" w:pos="1980"/>
        <w:tab w:val="clear" w:pos="425"/>
      </w:tabs>
      <w:spacing w:before="280" w:after="0" w:line="160" w:lineRule="exact"/>
      <w:ind w:left="1980" w:hanging="720"/>
      <w:jc w:val="left"/>
    </w:pPr>
    <w:rPr>
      <w:b/>
      <w:bCs w:val="0"/>
      <w:spacing w:val="40"/>
      <w:kern w:val="40"/>
      <w:sz w:val="24"/>
      <w:szCs w:val="20"/>
    </w:rPr>
  </w:style>
  <w:style w:type="paragraph" w:customStyle="1" w:styleId="191">
    <w:name w:val="Char Char3 Char Char Char Char"/>
    <w:basedOn w:val="1"/>
    <w:qFormat/>
    <w:uiPriority w:val="0"/>
    <w:rPr>
      <w:rFonts w:ascii="Tahoma" w:hAnsi="Tahoma"/>
      <w:sz w:val="24"/>
    </w:rPr>
  </w:style>
  <w:style w:type="character" w:customStyle="1" w:styleId="192">
    <w:name w:val="font21"/>
    <w:qFormat/>
    <w:uiPriority w:val="0"/>
    <w:rPr>
      <w:rFonts w:ascii="楷体_GB2312" w:eastAsia="楷体_GB2312" w:cs="楷体_GB2312"/>
      <w:color w:val="000000"/>
      <w:sz w:val="21"/>
      <w:szCs w:val="21"/>
      <w:u w:val="none"/>
    </w:rPr>
  </w:style>
  <w:style w:type="character" w:customStyle="1" w:styleId="193">
    <w:name w:val="标题 1 Char"/>
    <w:qFormat/>
    <w:uiPriority w:val="0"/>
    <w:rPr>
      <w:rFonts w:eastAsia="宋体"/>
      <w:b/>
      <w:bCs/>
      <w:kern w:val="44"/>
      <w:sz w:val="30"/>
      <w:szCs w:val="44"/>
      <w:lang w:val="en-US" w:eastAsia="zh-CN" w:bidi="ar-SA"/>
    </w:rPr>
  </w:style>
  <w:style w:type="character" w:customStyle="1" w:styleId="194">
    <w:name w:val="标题 2 Char"/>
    <w:qFormat/>
    <w:uiPriority w:val="0"/>
    <w:rPr>
      <w:rFonts w:ascii="Arial" w:hAnsi="Arial" w:eastAsia="黑体"/>
      <w:b/>
      <w:bCs/>
      <w:kern w:val="2"/>
      <w:sz w:val="32"/>
      <w:szCs w:val="32"/>
      <w:lang w:val="en-US" w:eastAsia="zh-CN" w:bidi="ar-SA"/>
    </w:rPr>
  </w:style>
  <w:style w:type="character" w:customStyle="1" w:styleId="195">
    <w:name w:val="标题 3 Char"/>
    <w:qFormat/>
    <w:uiPriority w:val="0"/>
    <w:rPr>
      <w:rFonts w:ascii="宋体" w:eastAsia="宋体"/>
      <w:b/>
      <w:bCs/>
      <w:kern w:val="2"/>
      <w:sz w:val="32"/>
      <w:szCs w:val="32"/>
      <w:lang w:val="en-US" w:eastAsia="zh-CN" w:bidi="ar-SA"/>
    </w:rPr>
  </w:style>
  <w:style w:type="character" w:customStyle="1" w:styleId="196">
    <w:name w:val="标题 4 Char"/>
    <w:qFormat/>
    <w:uiPriority w:val="0"/>
    <w:rPr>
      <w:rFonts w:ascii="Arial" w:hAnsi="Arial" w:eastAsia="黑体"/>
      <w:b/>
      <w:bCs/>
      <w:kern w:val="2"/>
      <w:sz w:val="28"/>
      <w:szCs w:val="28"/>
      <w:lang w:val="en-US" w:eastAsia="zh-CN" w:bidi="ar-SA"/>
    </w:rPr>
  </w:style>
  <w:style w:type="character" w:customStyle="1" w:styleId="197">
    <w:name w:val="标题 5 Char"/>
    <w:qFormat/>
    <w:uiPriority w:val="0"/>
    <w:rPr>
      <w:rFonts w:ascii="宋体" w:hAnsi="Arial" w:eastAsia="宋体"/>
      <w:bCs/>
      <w:kern w:val="2"/>
      <w:sz w:val="28"/>
      <w:lang w:val="en-US" w:eastAsia="zh-CN" w:bidi="ar-SA"/>
    </w:rPr>
  </w:style>
  <w:style w:type="character" w:customStyle="1" w:styleId="198">
    <w:name w:val="标题 6 Char"/>
    <w:qFormat/>
    <w:uiPriority w:val="0"/>
    <w:rPr>
      <w:rFonts w:ascii="宋体" w:hAnsi="宋体" w:eastAsia="宋体"/>
      <w:sz w:val="28"/>
      <w:lang w:val="en-US" w:eastAsia="zh-CN" w:bidi="ar-SA"/>
    </w:rPr>
  </w:style>
  <w:style w:type="character" w:customStyle="1" w:styleId="199">
    <w:name w:val="标题 7 Char"/>
    <w:qFormat/>
    <w:uiPriority w:val="0"/>
    <w:rPr>
      <w:rFonts w:ascii="Arial" w:hAnsi="Arial" w:eastAsia="仿宋_GB2312" w:cs="Arial"/>
      <w:b/>
      <w:bCs/>
      <w:spacing w:val="-4"/>
      <w:kern w:val="2"/>
      <w:sz w:val="24"/>
      <w:szCs w:val="24"/>
      <w:lang w:val="en-US" w:eastAsia="zh-CN" w:bidi="ar-SA"/>
    </w:rPr>
  </w:style>
  <w:style w:type="character" w:customStyle="1" w:styleId="200">
    <w:name w:val="标题 8 Char"/>
    <w:qFormat/>
    <w:uiPriority w:val="0"/>
    <w:rPr>
      <w:rFonts w:eastAsia="宋体"/>
      <w:sz w:val="24"/>
      <w:lang w:val="en-US" w:eastAsia="zh-CN" w:bidi="ar-SA"/>
    </w:rPr>
  </w:style>
  <w:style w:type="character" w:customStyle="1" w:styleId="201">
    <w:name w:val="标题 9 Char"/>
    <w:qFormat/>
    <w:uiPriority w:val="0"/>
    <w:rPr>
      <w:rFonts w:eastAsia="宋体"/>
      <w:sz w:val="24"/>
      <w:lang w:val="en-US" w:eastAsia="zh-CN" w:bidi="ar-SA"/>
    </w:rPr>
  </w:style>
  <w:style w:type="character" w:customStyle="1" w:styleId="202">
    <w:name w:val="页眉 Char"/>
    <w:qFormat/>
    <w:uiPriority w:val="0"/>
    <w:rPr>
      <w:rFonts w:eastAsia="宋体"/>
      <w:kern w:val="2"/>
      <w:sz w:val="18"/>
      <w:szCs w:val="18"/>
      <w:lang w:val="en-US" w:eastAsia="zh-CN" w:bidi="ar-SA"/>
    </w:rPr>
  </w:style>
  <w:style w:type="character" w:customStyle="1" w:styleId="203">
    <w:name w:val="页脚 Char"/>
    <w:qFormat/>
    <w:uiPriority w:val="0"/>
    <w:rPr>
      <w:rFonts w:eastAsia="宋体"/>
      <w:kern w:val="2"/>
      <w:sz w:val="18"/>
      <w:szCs w:val="18"/>
      <w:lang w:val="en-US" w:eastAsia="zh-CN" w:bidi="ar-SA"/>
    </w:rPr>
  </w:style>
  <w:style w:type="character" w:customStyle="1" w:styleId="204">
    <w:name w:val="正文文本缩进 Char"/>
    <w:qFormat/>
    <w:uiPriority w:val="0"/>
    <w:rPr>
      <w:rFonts w:ascii="楷体_GB2312" w:eastAsia="楷体_GB2312"/>
      <w:kern w:val="2"/>
      <w:sz w:val="32"/>
      <w:lang w:val="en-US" w:eastAsia="zh-CN" w:bidi="ar-SA"/>
    </w:rPr>
  </w:style>
  <w:style w:type="character" w:customStyle="1" w:styleId="205">
    <w:name w:val="正文文本缩进 2 Char"/>
    <w:qFormat/>
    <w:uiPriority w:val="0"/>
    <w:rPr>
      <w:rFonts w:ascii="Arial" w:hAnsi="Arial" w:eastAsia="仿宋_GB2312"/>
      <w:kern w:val="2"/>
      <w:sz w:val="32"/>
      <w:lang w:val="en-US" w:eastAsia="zh-CN" w:bidi="ar-SA"/>
    </w:rPr>
  </w:style>
  <w:style w:type="character" w:customStyle="1" w:styleId="206">
    <w:name w:val="纯文本 Char1"/>
    <w:qFormat/>
    <w:locked/>
    <w:uiPriority w:val="99"/>
    <w:rPr>
      <w:rFonts w:ascii="宋体" w:hAnsi="Courier New" w:eastAsia="宋体"/>
      <w:kern w:val="2"/>
      <w:sz w:val="21"/>
      <w:lang w:val="en-US" w:eastAsia="zh-CN" w:bidi="ar-SA"/>
    </w:rPr>
  </w:style>
  <w:style w:type="character" w:customStyle="1" w:styleId="207">
    <w:name w:val="正文文本缩进 3 Char"/>
    <w:qFormat/>
    <w:uiPriority w:val="0"/>
    <w:rPr>
      <w:rFonts w:ascii="仿宋_GB2312" w:hAnsi="Arial" w:eastAsia="仿宋_GB2312"/>
      <w:color w:val="000000"/>
      <w:kern w:val="2"/>
      <w:sz w:val="30"/>
      <w:lang w:val="en-US" w:eastAsia="zh-CN" w:bidi="ar-SA"/>
    </w:rPr>
  </w:style>
  <w:style w:type="character" w:customStyle="1" w:styleId="208">
    <w:name w:val="日期 Char"/>
    <w:qFormat/>
    <w:uiPriority w:val="0"/>
    <w:rPr>
      <w:rFonts w:eastAsia="宋体"/>
      <w:b/>
      <w:kern w:val="2"/>
      <w:sz w:val="28"/>
      <w:lang w:val="en-US" w:eastAsia="zh-CN" w:bidi="ar-SA"/>
    </w:rPr>
  </w:style>
  <w:style w:type="character" w:customStyle="1" w:styleId="209">
    <w:name w:val="正文文本 Char"/>
    <w:qFormat/>
    <w:uiPriority w:val="0"/>
    <w:rPr>
      <w:rFonts w:ascii="宋体" w:hAnsi="Arial" w:eastAsia="宋体"/>
      <w:kern w:val="2"/>
      <w:sz w:val="28"/>
      <w:lang w:val="en-US" w:eastAsia="zh-CN" w:bidi="ar-SA"/>
    </w:rPr>
  </w:style>
  <w:style w:type="character" w:customStyle="1" w:styleId="210">
    <w:name w:val="正文文本 2 Char"/>
    <w:qFormat/>
    <w:uiPriority w:val="0"/>
    <w:rPr>
      <w:rFonts w:ascii="仿宋_GB2312" w:eastAsia="仿宋_GB2312"/>
      <w:b/>
      <w:kern w:val="2"/>
      <w:sz w:val="24"/>
      <w:lang w:val="en-US" w:eastAsia="zh-CN" w:bidi="ar-SA"/>
    </w:rPr>
  </w:style>
  <w:style w:type="character" w:customStyle="1" w:styleId="211">
    <w:name w:val="文档结构图 Char"/>
    <w:qFormat/>
    <w:uiPriority w:val="0"/>
    <w:rPr>
      <w:rFonts w:eastAsia="宋体"/>
      <w:kern w:val="2"/>
      <w:sz w:val="21"/>
      <w:lang w:val="en-US" w:eastAsia="zh-CN" w:bidi="ar-SA"/>
    </w:rPr>
  </w:style>
  <w:style w:type="character" w:customStyle="1" w:styleId="212">
    <w:name w:val="正文文本 3 Char"/>
    <w:qFormat/>
    <w:uiPriority w:val="0"/>
    <w:rPr>
      <w:rFonts w:ascii="黑体" w:hAnsi="Arial" w:eastAsia="黑体"/>
      <w:b/>
      <w:kern w:val="2"/>
      <w:sz w:val="28"/>
      <w:lang w:val="en-US" w:eastAsia="zh-CN" w:bidi="ar-SA"/>
    </w:rPr>
  </w:style>
  <w:style w:type="character" w:customStyle="1" w:styleId="213">
    <w:name w:val="批注框文本 Char"/>
    <w:qFormat/>
    <w:uiPriority w:val="0"/>
    <w:rPr>
      <w:rFonts w:eastAsia="宋体"/>
      <w:kern w:val="2"/>
      <w:sz w:val="18"/>
      <w:szCs w:val="18"/>
      <w:lang w:val="en-US" w:eastAsia="zh-CN" w:bidi="ar-SA"/>
    </w:rPr>
  </w:style>
  <w:style w:type="character" w:customStyle="1" w:styleId="214">
    <w:name w:val="正文首行缩进 Char"/>
    <w:qFormat/>
    <w:uiPriority w:val="0"/>
    <w:rPr>
      <w:rFonts w:ascii="Arial" w:hAnsi="Arial" w:eastAsia="仿宋_GB2312" w:cs="Arial"/>
      <w:sz w:val="24"/>
      <w:szCs w:val="32"/>
      <w:lang w:val="en-US" w:eastAsia="zh-CN" w:bidi="ar-SA"/>
    </w:rPr>
  </w:style>
  <w:style w:type="character" w:customStyle="1" w:styleId="215">
    <w:name w:val="批注文字 Char1"/>
    <w:qFormat/>
    <w:uiPriority w:val="0"/>
    <w:rPr>
      <w:rFonts w:eastAsia="宋体"/>
      <w:kern w:val="2"/>
      <w:sz w:val="21"/>
      <w:lang w:val="en-US" w:eastAsia="zh-CN" w:bidi="ar-SA"/>
    </w:rPr>
  </w:style>
  <w:style w:type="character" w:customStyle="1" w:styleId="216">
    <w:name w:val="正文缩进 Char1"/>
    <w:qFormat/>
    <w:uiPriority w:val="0"/>
    <w:rPr>
      <w:rFonts w:ascii="Calibri" w:hAnsi="Calibri" w:eastAsia="宋体" w:cs="Plotter"/>
      <w:kern w:val="2"/>
      <w:sz w:val="24"/>
      <w:szCs w:val="24"/>
      <w:lang w:val="en-US" w:eastAsia="zh-CN" w:bidi="ar-SA"/>
    </w:rPr>
  </w:style>
  <w:style w:type="character" w:customStyle="1" w:styleId="217">
    <w:name w:val="标题 Char"/>
    <w:qFormat/>
    <w:uiPriority w:val="0"/>
    <w:rPr>
      <w:rFonts w:ascii="黑体" w:hAnsi="Arial" w:eastAsia="黑体" w:cs="Arial"/>
      <w:bCs/>
      <w:kern w:val="2"/>
      <w:sz w:val="32"/>
      <w:szCs w:val="32"/>
      <w:lang w:val="en-US" w:eastAsia="zh-CN" w:bidi="ar-SA"/>
    </w:rPr>
  </w:style>
  <w:style w:type="character" w:customStyle="1" w:styleId="218">
    <w:name w:val="副标题 Char"/>
    <w:qFormat/>
    <w:uiPriority w:val="0"/>
    <w:rPr>
      <w:rFonts w:ascii="Arial" w:hAnsi="Arial" w:eastAsia="宋体" w:cs="Arial"/>
      <w:b/>
      <w:bCs/>
      <w:kern w:val="28"/>
      <w:sz w:val="32"/>
      <w:szCs w:val="32"/>
      <w:lang w:val="en-US" w:eastAsia="zh-CN" w:bidi="ar-SA"/>
    </w:rPr>
  </w:style>
  <w:style w:type="character" w:customStyle="1" w:styleId="219">
    <w:name w:val="批注主题 Char"/>
    <w:qFormat/>
    <w:uiPriority w:val="0"/>
    <w:rPr>
      <w:rFonts w:eastAsia="宋体"/>
      <w:b/>
      <w:bCs/>
      <w:sz w:val="24"/>
      <w:lang w:val="en-US" w:eastAsia="zh-CN" w:bidi="ar-SA"/>
    </w:rPr>
  </w:style>
  <w:style w:type="character" w:customStyle="1" w:styleId="220">
    <w:name w:val="style111"/>
    <w:qFormat/>
    <w:uiPriority w:val="0"/>
    <w:rPr>
      <w:color w:val="333333"/>
      <w:sz w:val="18"/>
      <w:szCs w:val="18"/>
    </w:rPr>
  </w:style>
  <w:style w:type="character" w:customStyle="1" w:styleId="221">
    <w:name w:val="emtidy-6"/>
    <w:qFormat/>
    <w:uiPriority w:val="0"/>
  </w:style>
  <w:style w:type="character" w:customStyle="1" w:styleId="222">
    <w:name w:val="short_text1"/>
    <w:qFormat/>
    <w:uiPriority w:val="0"/>
    <w:rPr>
      <w:sz w:val="25"/>
      <w:szCs w:val="25"/>
    </w:rPr>
  </w:style>
  <w:style w:type="character" w:customStyle="1" w:styleId="223">
    <w:name w:val="apple-style-span"/>
    <w:qFormat/>
    <w:uiPriority w:val="0"/>
    <w:rPr>
      <w:rFonts w:cs="Times New Roman"/>
    </w:rPr>
  </w:style>
  <w:style w:type="character" w:customStyle="1" w:styleId="224">
    <w:name w:val="apple-tab-span"/>
    <w:qFormat/>
    <w:uiPriority w:val="0"/>
  </w:style>
  <w:style w:type="character" w:customStyle="1" w:styleId="225">
    <w:name w:val="style7"/>
    <w:qFormat/>
    <w:uiPriority w:val="0"/>
  </w:style>
  <w:style w:type="character" w:customStyle="1" w:styleId="226">
    <w:name w:val="param-name param-explain"/>
    <w:qFormat/>
    <w:uiPriority w:val="0"/>
  </w:style>
  <w:style w:type="character" w:customStyle="1" w:styleId="227">
    <w:name w:val="style11"/>
    <w:qFormat/>
    <w:uiPriority w:val="0"/>
    <w:rPr>
      <w:rFonts w:cs="Times New Roman"/>
      <w:color w:val="FF0000"/>
    </w:rPr>
  </w:style>
  <w:style w:type="character" w:customStyle="1" w:styleId="228">
    <w:name w:val="size12_241"/>
    <w:qFormat/>
    <w:uiPriority w:val="0"/>
    <w:rPr>
      <w:rFonts w:cs="Times New Roman"/>
      <w:color w:val="000000"/>
      <w:sz w:val="18"/>
      <w:szCs w:val="18"/>
    </w:rPr>
  </w:style>
  <w:style w:type="character" w:customStyle="1" w:styleId="229">
    <w:name w:val="medium_text1"/>
    <w:qFormat/>
    <w:uiPriority w:val="0"/>
    <w:rPr>
      <w:sz w:val="21"/>
      <w:szCs w:val="21"/>
    </w:rPr>
  </w:style>
  <w:style w:type="character" w:customStyle="1" w:styleId="230">
    <w:name w:val="A9"/>
    <w:qFormat/>
    <w:uiPriority w:val="0"/>
    <w:rPr>
      <w:rFonts w:ascii="Calibri" w:hAnsi="Calibri" w:cs="Calibri"/>
      <w:color w:val="211D1E"/>
      <w:sz w:val="7"/>
      <w:szCs w:val="7"/>
    </w:rPr>
  </w:style>
  <w:style w:type="character" w:customStyle="1" w:styleId="231">
    <w:name w:val="A4"/>
    <w:qFormat/>
    <w:uiPriority w:val="0"/>
    <w:rPr>
      <w:rFonts w:cs="Verdana"/>
      <w:color w:val="000000"/>
      <w:sz w:val="18"/>
      <w:szCs w:val="18"/>
    </w:rPr>
  </w:style>
  <w:style w:type="character" w:customStyle="1" w:styleId="232">
    <w:name w:val="fileinfo2"/>
    <w:qFormat/>
    <w:uiPriority w:val="0"/>
  </w:style>
  <w:style w:type="character" w:customStyle="1" w:styleId="233">
    <w:name w:val="param-name"/>
    <w:qFormat/>
    <w:uiPriority w:val="0"/>
  </w:style>
  <w:style w:type="character" w:customStyle="1" w:styleId="234">
    <w:name w:val="15"/>
    <w:qFormat/>
    <w:uiPriority w:val="0"/>
    <w:rPr>
      <w:rFonts w:hint="default" w:ascii="Times New Roman" w:hAnsi="Times New Roman" w:cs="Times New Roman"/>
      <w:b/>
      <w:bCs/>
    </w:rPr>
  </w:style>
  <w:style w:type="character" w:customStyle="1" w:styleId="235">
    <w:name w:val="apple-converted-space"/>
    <w:qFormat/>
    <w:uiPriority w:val="0"/>
  </w:style>
  <w:style w:type="character" w:customStyle="1" w:styleId="236">
    <w:name w:val="param-value"/>
    <w:qFormat/>
    <w:uiPriority w:val="0"/>
  </w:style>
  <w:style w:type="character" w:customStyle="1" w:styleId="237">
    <w:name w:val="style21"/>
    <w:qFormat/>
    <w:uiPriority w:val="0"/>
    <w:rPr>
      <w:color w:val="000000"/>
    </w:rPr>
  </w:style>
  <w:style w:type="character" w:customStyle="1" w:styleId="238">
    <w:name w:val="bodytextnarrow1"/>
    <w:qFormat/>
    <w:uiPriority w:val="0"/>
    <w:rPr>
      <w:rFonts w:hint="default" w:ascii="Arial" w:hAnsi="Arial" w:cs="Arial"/>
      <w:color w:val="606060"/>
      <w:sz w:val="22"/>
      <w:szCs w:val="22"/>
    </w:rPr>
  </w:style>
  <w:style w:type="character" w:customStyle="1" w:styleId="239">
    <w:name w:val="emtidy-4"/>
    <w:qFormat/>
    <w:uiPriority w:val="0"/>
  </w:style>
  <w:style w:type="character" w:customStyle="1" w:styleId="240">
    <w:name w:val="A8"/>
    <w:qFormat/>
    <w:uiPriority w:val="0"/>
    <w:rPr>
      <w:rFonts w:cs="Calibri"/>
      <w:color w:val="211D1E"/>
      <w:sz w:val="12"/>
      <w:szCs w:val="12"/>
    </w:rPr>
  </w:style>
  <w:style w:type="character" w:customStyle="1" w:styleId="241">
    <w:name w:val="emtidy-3"/>
    <w:qFormat/>
    <w:uiPriority w:val="0"/>
  </w:style>
  <w:style w:type="character" w:customStyle="1" w:styleId="242">
    <w:name w:val="标题 Char2"/>
    <w:qFormat/>
    <w:uiPriority w:val="10"/>
    <w:rPr>
      <w:rFonts w:ascii="Cambria" w:hAnsi="Cambria" w:eastAsia="宋体" w:cs="Times New Roman"/>
      <w:b/>
      <w:bCs/>
      <w:sz w:val="32"/>
      <w:szCs w:val="32"/>
    </w:rPr>
  </w:style>
  <w:style w:type="character" w:customStyle="1" w:styleId="243">
    <w:name w:val="HTML 预设格式 字符"/>
    <w:qFormat/>
    <w:uiPriority w:val="99"/>
    <w:rPr>
      <w:rFonts w:ascii="Courier New" w:hAnsi="Courier New" w:cs="Courier New"/>
      <w:kern w:val="2"/>
    </w:rPr>
  </w:style>
  <w:style w:type="character" w:customStyle="1" w:styleId="244">
    <w:name w:val="HTML 预设格式 Char"/>
    <w:link w:val="54"/>
    <w:qFormat/>
    <w:uiPriority w:val="0"/>
    <w:rPr>
      <w:rFonts w:ascii="黑体" w:hAnsi="Courier New" w:eastAsia="黑体"/>
    </w:rPr>
  </w:style>
  <w:style w:type="paragraph" w:customStyle="1" w:styleId="245">
    <w:name w:val="charcharcharcharcharcharchar1cha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6">
    <w:name w:val="Agilent Body Text"/>
    <w:basedOn w:val="1"/>
    <w:qFormat/>
    <w:uiPriority w:val="0"/>
    <w:pPr>
      <w:spacing w:line="260" w:lineRule="exact"/>
    </w:pPr>
    <w:rPr>
      <w:rFonts w:ascii="Agilent TT Cond" w:hAnsi="Agilent TT Cond" w:eastAsia="Times New Roman"/>
      <w:sz w:val="19"/>
    </w:rPr>
  </w:style>
  <w:style w:type="paragraph" w:customStyle="1" w:styleId="247">
    <w:name w:val="彩色列表 - 强调文字颜色 11"/>
    <w:basedOn w:val="1"/>
    <w:qFormat/>
    <w:uiPriority w:val="0"/>
    <w:pPr>
      <w:ind w:firstLine="420" w:firstLineChars="200"/>
    </w:pPr>
  </w:style>
  <w:style w:type="paragraph" w:customStyle="1" w:styleId="248">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 Char Char Char Char"/>
    <w:basedOn w:val="1"/>
    <w:qFormat/>
    <w:uiPriority w:val="0"/>
    <w:rPr>
      <w:rFonts w:ascii="Tahoma" w:hAnsi="Tahoma" w:cs="仿宋_GB2312"/>
      <w:sz w:val="24"/>
    </w:rPr>
  </w:style>
  <w:style w:type="character" w:customStyle="1" w:styleId="250">
    <w:name w:val="副标题 Char1"/>
    <w:qFormat/>
    <w:uiPriority w:val="11"/>
    <w:rPr>
      <w:rFonts w:ascii="Cambria" w:hAnsi="Cambria" w:eastAsia="宋体" w:cs="Times New Roman"/>
      <w:b/>
      <w:bCs/>
      <w:kern w:val="28"/>
      <w:sz w:val="32"/>
      <w:szCs w:val="32"/>
    </w:rPr>
  </w:style>
  <w:style w:type="character" w:customStyle="1" w:styleId="251">
    <w:name w:val="正文文本 Char2"/>
    <w:semiHidden/>
    <w:qFormat/>
    <w:uiPriority w:val="99"/>
  </w:style>
  <w:style w:type="character" w:customStyle="1" w:styleId="252">
    <w:name w:val="批注文字 Char2"/>
    <w:semiHidden/>
    <w:qFormat/>
    <w:uiPriority w:val="99"/>
  </w:style>
  <w:style w:type="paragraph" w:customStyle="1" w:styleId="253">
    <w:name w:val="正文 New"/>
    <w:qFormat/>
    <w:uiPriority w:val="0"/>
    <w:pPr>
      <w:widowControl w:val="0"/>
      <w:jc w:val="both"/>
    </w:pPr>
    <w:rPr>
      <w:rFonts w:ascii="Calibri" w:hAnsi="Calibri" w:eastAsia="宋体" w:cs="宋体"/>
      <w:kern w:val="2"/>
      <w:sz w:val="21"/>
      <w:szCs w:val="24"/>
      <w:lang w:val="en-US" w:eastAsia="zh-CN" w:bidi="ar-SA"/>
    </w:rPr>
  </w:style>
  <w:style w:type="paragraph" w:customStyle="1" w:styleId="254">
    <w:name w:val="Agilent Address Detail"/>
    <w:basedOn w:val="1"/>
    <w:qFormat/>
    <w:uiPriority w:val="0"/>
    <w:pPr>
      <w:spacing w:line="200" w:lineRule="exact"/>
      <w:ind w:right="-90"/>
    </w:pPr>
    <w:rPr>
      <w:rFonts w:ascii="Agilent TT CondLight" w:hAnsi="Agilent TT CondLight" w:eastAsia="Times New Roman"/>
      <w:sz w:val="16"/>
    </w:rPr>
  </w:style>
  <w:style w:type="paragraph" w:customStyle="1" w:styleId="255">
    <w:name w:val="p17"/>
    <w:basedOn w:val="1"/>
    <w:qFormat/>
    <w:uiPriority w:val="0"/>
    <w:pPr>
      <w:widowControl/>
    </w:pPr>
    <w:rPr>
      <w:rFonts w:ascii="Calibri" w:hAnsi="Calibri"/>
      <w:kern w:val="0"/>
      <w:szCs w:val="21"/>
    </w:rPr>
  </w:style>
  <w:style w:type="paragraph" w:customStyle="1" w:styleId="256">
    <w:name w:val="List Paragraph1"/>
    <w:basedOn w:val="1"/>
    <w:qFormat/>
    <w:uiPriority w:val="0"/>
    <w:pPr>
      <w:ind w:firstLine="420" w:firstLineChars="200"/>
    </w:pPr>
    <w:rPr>
      <w:rFonts w:ascii="Calibri" w:hAnsi="Calibri"/>
      <w:szCs w:val="22"/>
    </w:rPr>
  </w:style>
  <w:style w:type="paragraph" w:customStyle="1" w:styleId="257">
    <w:name w:val="Normal_0"/>
    <w:qFormat/>
    <w:uiPriority w:val="0"/>
    <w:pPr>
      <w:spacing w:before="120" w:after="240"/>
      <w:jc w:val="both"/>
    </w:pPr>
    <w:rPr>
      <w:rFonts w:ascii="Calibri" w:hAnsi="Calibri" w:eastAsia="Calibri" w:cs="Times New Roman"/>
      <w:sz w:val="22"/>
      <w:szCs w:val="22"/>
      <w:lang w:val="ru-RU" w:eastAsia="en-US" w:bidi="ar-SA"/>
    </w:rPr>
  </w:style>
  <w:style w:type="paragraph" w:styleId="25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p16"/>
    <w:basedOn w:val="1"/>
    <w:qFormat/>
    <w:uiPriority w:val="0"/>
    <w:pPr>
      <w:widowControl/>
    </w:pPr>
    <w:rPr>
      <w:rFonts w:ascii="宋体" w:hAnsi="宋体" w:cs="宋体"/>
      <w:kern w:val="0"/>
      <w:sz w:val="28"/>
      <w:szCs w:val="28"/>
    </w:rPr>
  </w:style>
  <w:style w:type="paragraph" w:customStyle="1" w:styleId="260">
    <w:name w:val="newstyle1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1">
    <w:name w:val="列出段落2"/>
    <w:qFormat/>
    <w:uiPriority w:val="34"/>
    <w:pPr>
      <w:ind w:firstLine="420" w:firstLineChars="200"/>
    </w:pPr>
    <w:rPr>
      <w:rFonts w:ascii="Times New Roman" w:hAnsi="Times New Roman" w:eastAsia="宋体" w:cs="Times New Roman"/>
      <w:sz w:val="21"/>
      <w:szCs w:val="22"/>
      <w:lang w:val="en-US" w:eastAsia="zh-CN" w:bidi="ar-SA"/>
    </w:rPr>
  </w:style>
  <w:style w:type="paragraph" w:customStyle="1" w:styleId="262">
    <w:name w:val="No Spacing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3">
    <w:name w:val="列出段落 Char"/>
    <w:link w:val="155"/>
    <w:qFormat/>
    <w:uiPriority w:val="99"/>
    <w:rPr>
      <w:rFonts w:ascii="Calibri" w:hAnsi="Calibri"/>
      <w:kern w:val="2"/>
      <w:sz w:val="21"/>
      <w:szCs w:val="22"/>
    </w:rPr>
  </w:style>
  <w:style w:type="paragraph" w:customStyle="1" w:styleId="264">
    <w:name w:val="正文 New New New New"/>
    <w:qFormat/>
    <w:uiPriority w:val="99"/>
    <w:pPr>
      <w:widowControl w:val="0"/>
      <w:jc w:val="both"/>
    </w:pPr>
    <w:rPr>
      <w:rFonts w:ascii="Times New Roman" w:hAnsi="Times New Roman" w:eastAsia="宋体" w:cs="Times New Roman"/>
      <w:szCs w:val="24"/>
      <w:lang w:val="en-US" w:eastAsia="zh-CN" w:bidi="ar-SA"/>
    </w:rPr>
  </w:style>
  <w:style w:type="character" w:customStyle="1" w:styleId="265">
    <w:name w:val="样式 仿宋_GB2312 小四 加粗 黑色"/>
    <w:qFormat/>
    <w:uiPriority w:val="0"/>
    <w:rPr>
      <w:rFonts w:ascii="仿宋_GB2312" w:eastAsia="仿宋_GB2312"/>
      <w:b/>
      <w:bCs/>
      <w:color w:val="000000"/>
      <w:kern w:val="0"/>
      <w:sz w:val="24"/>
      <w:szCs w:val="24"/>
      <w:lang w:val="en-US" w:eastAsia="zh-CN" w:bidi="ar-SA"/>
    </w:rPr>
  </w:style>
  <w:style w:type="character" w:customStyle="1" w:styleId="266">
    <w:name w:val="oblog_text"/>
    <w:basedOn w:val="58"/>
    <w:qFormat/>
    <w:uiPriority w:val="0"/>
  </w:style>
  <w:style w:type="paragraph" w:customStyle="1" w:styleId="267">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268">
    <w:name w:val="修订2"/>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E375C-2CE1-4C86-BCFD-0BFC46E832C5}">
  <ds:schemaRefs/>
</ds:datastoreItem>
</file>

<file path=docProps/app.xml><?xml version="1.0" encoding="utf-8"?>
<Properties xmlns="http://schemas.openxmlformats.org/officeDocument/2006/extended-properties" xmlns:vt="http://schemas.openxmlformats.org/officeDocument/2006/docPropsVTypes">
  <Template>Normal</Template>
  <Company>安徽鼎信工程咨询管理有限公司</Company>
  <Pages>48</Pages>
  <Words>5099</Words>
  <Characters>29069</Characters>
  <Lines>242</Lines>
  <Paragraphs>68</Paragraphs>
  <TotalTime>0</TotalTime>
  <ScaleCrop>false</ScaleCrop>
  <LinksUpToDate>false</LinksUpToDate>
  <CharactersWithSpaces>34100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2017-12-28T02:42:00Z</dcterms:created>
  <dc:creator>Administrator</dc:creator>
  <cp:lastModifiedBy>汪浩扬</cp:lastModifiedBy>
  <cp:lastPrinted>2018-05-09T03:19:00Z</cp:lastPrinted>
  <dcterms:modified xsi:type="dcterms:W3CDTF">2018-05-10T05:55:38Z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